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A6" w:rsidRDefault="007A17A6" w:rsidP="007A17A6">
      <w:pPr>
        <w:ind w:right="5755"/>
        <w:rPr>
          <w:b/>
        </w:rPr>
      </w:pPr>
      <w:r>
        <w:rPr>
          <w:b/>
        </w:rPr>
        <w:t xml:space="preserve">     </w:t>
      </w:r>
      <w:bookmarkStart w:id="0" w:name="_GoBack"/>
      <w:bookmarkEnd w:id="0"/>
      <w:r>
        <w:rPr>
          <w:b/>
        </w:rPr>
        <w:t>АДМИНИСТРАЦИЯ</w:t>
      </w:r>
    </w:p>
    <w:p w:rsidR="007A17A6" w:rsidRDefault="007A17A6" w:rsidP="007A17A6">
      <w:pPr>
        <w:ind w:right="5755"/>
        <w:jc w:val="center"/>
        <w:rPr>
          <w:b/>
        </w:rPr>
      </w:pPr>
      <w:r>
        <w:rPr>
          <w:b/>
        </w:rPr>
        <w:t>муниципального</w:t>
      </w:r>
    </w:p>
    <w:p w:rsidR="007A17A6" w:rsidRDefault="007A17A6" w:rsidP="007A17A6">
      <w:pPr>
        <w:ind w:right="5755"/>
        <w:jc w:val="center"/>
        <w:rPr>
          <w:b/>
        </w:rPr>
      </w:pPr>
      <w:r>
        <w:rPr>
          <w:b/>
        </w:rPr>
        <w:t>образования</w:t>
      </w:r>
    </w:p>
    <w:p w:rsidR="007A17A6" w:rsidRDefault="007A17A6" w:rsidP="007A17A6">
      <w:pPr>
        <w:ind w:right="5755"/>
        <w:jc w:val="center"/>
        <w:rPr>
          <w:b/>
        </w:rPr>
      </w:pPr>
      <w:r>
        <w:rPr>
          <w:b/>
        </w:rPr>
        <w:t>Рыбкинский сельсовет</w:t>
      </w:r>
    </w:p>
    <w:p w:rsidR="007A17A6" w:rsidRDefault="007A17A6" w:rsidP="007A17A6">
      <w:pPr>
        <w:ind w:right="5755"/>
        <w:jc w:val="center"/>
        <w:rPr>
          <w:b/>
        </w:rPr>
      </w:pPr>
      <w:r>
        <w:rPr>
          <w:b/>
        </w:rPr>
        <w:t>Новосергиевского района</w:t>
      </w:r>
    </w:p>
    <w:p w:rsidR="007A17A6" w:rsidRDefault="007A17A6" w:rsidP="007A17A6">
      <w:pPr>
        <w:ind w:right="5755"/>
        <w:jc w:val="center"/>
        <w:rPr>
          <w:b/>
        </w:rPr>
      </w:pPr>
      <w:r>
        <w:rPr>
          <w:b/>
        </w:rPr>
        <w:t>Оренбургской  области</w:t>
      </w:r>
    </w:p>
    <w:p w:rsidR="007A17A6" w:rsidRDefault="007A17A6" w:rsidP="007A17A6">
      <w:pPr>
        <w:ind w:right="5755"/>
        <w:jc w:val="center"/>
        <w:rPr>
          <w:b/>
        </w:rPr>
      </w:pPr>
    </w:p>
    <w:p w:rsidR="007A17A6" w:rsidRDefault="007A17A6" w:rsidP="007A17A6">
      <w:pPr>
        <w:ind w:right="5755"/>
        <w:jc w:val="center"/>
        <w:rPr>
          <w:b/>
        </w:rPr>
      </w:pPr>
      <w:r>
        <w:rPr>
          <w:b/>
        </w:rPr>
        <w:t>ПОСТАНОВЛЕНИЕ</w:t>
      </w:r>
    </w:p>
    <w:p w:rsidR="007A17A6" w:rsidRDefault="007A17A6" w:rsidP="007A17A6">
      <w:pPr>
        <w:ind w:right="5755"/>
        <w:jc w:val="center"/>
        <w:rPr>
          <w:b/>
          <w:color w:val="FF0000"/>
        </w:rPr>
      </w:pPr>
    </w:p>
    <w:p w:rsidR="007A17A6" w:rsidRDefault="007A17A6" w:rsidP="007A17A6">
      <w:pPr>
        <w:ind w:right="5755"/>
        <w:jc w:val="center"/>
      </w:pPr>
      <w:r>
        <w:t>15.11.2018  г. № 96-п.</w:t>
      </w:r>
    </w:p>
    <w:p w:rsidR="007A17A6" w:rsidRDefault="007A17A6" w:rsidP="007A17A6">
      <w:pPr>
        <w:ind w:right="5755"/>
        <w:jc w:val="center"/>
      </w:pPr>
      <w:r>
        <w:t>с.Рыбкино</w:t>
      </w:r>
    </w:p>
    <w:p w:rsidR="007A17A6" w:rsidRDefault="007A17A6" w:rsidP="007A17A6"/>
    <w:p w:rsidR="007A17A6" w:rsidRDefault="007A17A6" w:rsidP="007A17A6">
      <w:pPr>
        <w:ind w:right="3117"/>
        <w:jc w:val="both"/>
      </w:pPr>
      <w:r>
        <w:t xml:space="preserve">О проекте бюджета поселения на 2019 год и плановый период 2020 и 2021 годов </w:t>
      </w:r>
    </w:p>
    <w:p w:rsidR="007A17A6" w:rsidRDefault="007A17A6" w:rsidP="007A17A6">
      <w:pPr>
        <w:ind w:firstLine="708"/>
        <w:jc w:val="both"/>
      </w:pPr>
    </w:p>
    <w:p w:rsidR="007A17A6" w:rsidRDefault="007A17A6" w:rsidP="007A17A6">
      <w:pPr>
        <w:ind w:firstLine="708"/>
        <w:jc w:val="both"/>
      </w:pPr>
      <w:r>
        <w:t>Рассмотрев проект бюджета поселения на 2019 год и на плановый период 2020 и 2021 годов:</w:t>
      </w:r>
    </w:p>
    <w:p w:rsidR="007A17A6" w:rsidRDefault="007A17A6" w:rsidP="007A17A6">
      <w:pPr>
        <w:ind w:firstLine="708"/>
        <w:jc w:val="both"/>
      </w:pPr>
      <w:r>
        <w:t>1.Одобрить:</w:t>
      </w:r>
    </w:p>
    <w:p w:rsidR="007A17A6" w:rsidRDefault="007A17A6" w:rsidP="007A17A6">
      <w:pPr>
        <w:jc w:val="both"/>
      </w:pPr>
      <w:r>
        <w:t xml:space="preserve">         1.1. Основные  направления бюджетной и налоговой политики в муниципальном образовании Рыбкинский сельсовет Новосергиевского района Оренбургской области на 2019 год и на плановый период 2020 и 2021 годов согласно приложению №1.</w:t>
      </w:r>
    </w:p>
    <w:p w:rsidR="007A17A6" w:rsidRDefault="007A17A6" w:rsidP="007A17A6">
      <w:pPr>
        <w:ind w:firstLine="709"/>
        <w:jc w:val="both"/>
      </w:pPr>
      <w:r>
        <w:t>1.2. Основные направления долговой политики муниципального образования Рыбкинский сельсовет Новосергиевского района Оренбургской области на 2019 год и плановый период 2020 и 2021 годов согласно приложению №2.</w:t>
      </w:r>
    </w:p>
    <w:p w:rsidR="007A17A6" w:rsidRDefault="007A17A6" w:rsidP="007A17A6">
      <w:pPr>
        <w:ind w:firstLine="708"/>
        <w:jc w:val="both"/>
      </w:pPr>
      <w:r>
        <w:t>1.3. Проект бюджета поселения на 2019 год и на плановый период  2020 и 2021 годов в разрезе доходных  источников и распределения расходов по их основным направлениям согласно приложению №3</w:t>
      </w:r>
    </w:p>
    <w:p w:rsidR="007A17A6" w:rsidRDefault="007A17A6" w:rsidP="007A17A6">
      <w:pPr>
        <w:ind w:firstLine="708"/>
        <w:jc w:val="both"/>
      </w:pPr>
      <w:r>
        <w:t xml:space="preserve">2. </w:t>
      </w:r>
      <w:proofErr w:type="gramStart"/>
      <w:r>
        <w:t>Центру бюджетного (бухгалтерского) учёта и отчетности Новосергиевского района (Белецкой И.М.) подготовить проект решения Совета депутатов муниципального образования Рыбкинский сельсовет Новосергиевского района Оренбургской области «О бюджете муниципального образования Рыбкинский сельсовет Новосергиевского района Оренбургской области на 2019 год и на плановый период  2020 и 2021 годов» для внесения на заседание Совета депутатов.</w:t>
      </w:r>
      <w:proofErr w:type="gramEnd"/>
      <w:r>
        <w:t xml:space="preserve"> При формировании соответствующего проекта бюджета исходить из необходимости:</w:t>
      </w:r>
    </w:p>
    <w:p w:rsidR="007A17A6" w:rsidRDefault="007A17A6" w:rsidP="007A17A6">
      <w:pPr>
        <w:ind w:firstLine="708"/>
        <w:jc w:val="both"/>
      </w:pPr>
      <w:r>
        <w:t>2.1. последовательного расширения собственной налоговой базы;</w:t>
      </w:r>
    </w:p>
    <w:p w:rsidR="007A17A6" w:rsidRDefault="007A17A6" w:rsidP="007A17A6">
      <w:pPr>
        <w:ind w:firstLine="708"/>
        <w:jc w:val="both"/>
      </w:pPr>
      <w:r>
        <w:t>2.2. оптимизации расходов на содержание органов местного самоуправления;</w:t>
      </w:r>
    </w:p>
    <w:p w:rsidR="007A17A6" w:rsidRDefault="007A17A6" w:rsidP="007A17A6">
      <w:pPr>
        <w:ind w:firstLine="708"/>
        <w:jc w:val="both"/>
      </w:pPr>
      <w:r>
        <w:t>2.3. повышения качества бюджетного планирования, отказа от второстепенных и менее значимых расходов;</w:t>
      </w:r>
    </w:p>
    <w:p w:rsidR="007A17A6" w:rsidRDefault="007A17A6" w:rsidP="007A17A6">
      <w:pPr>
        <w:ind w:firstLine="708"/>
        <w:jc w:val="both"/>
      </w:pPr>
      <w:r>
        <w:t>2.4. составления сбалансированного бюджета муниципального образования.</w:t>
      </w:r>
    </w:p>
    <w:p w:rsidR="007A17A6" w:rsidRDefault="007A17A6" w:rsidP="007A17A6">
      <w:pPr>
        <w:ind w:firstLine="708"/>
        <w:jc w:val="both"/>
      </w:pPr>
      <w:r>
        <w:lastRenderedPageBreak/>
        <w:t xml:space="preserve">3. </w:t>
      </w:r>
      <w:proofErr w:type="gramStart"/>
      <w:r>
        <w:t>Контроль за</w:t>
      </w:r>
      <w:proofErr w:type="gramEnd"/>
      <w:r>
        <w:t xml:space="preserve"> исполнением настоящего постановления оставляю за собой.</w:t>
      </w:r>
    </w:p>
    <w:p w:rsidR="007A17A6" w:rsidRDefault="007A17A6" w:rsidP="007A17A6">
      <w:pPr>
        <w:pStyle w:val="a3"/>
        <w:ind w:left="0" w:firstLine="720"/>
        <w:jc w:val="both"/>
      </w:pPr>
      <w:r>
        <w:t>4. 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w:t>
      </w:r>
    </w:p>
    <w:p w:rsidR="007A17A6" w:rsidRDefault="007A17A6" w:rsidP="007A17A6">
      <w:pPr>
        <w:jc w:val="both"/>
      </w:pPr>
    </w:p>
    <w:p w:rsidR="007A17A6" w:rsidRDefault="007A17A6" w:rsidP="007A17A6"/>
    <w:p w:rsidR="007A17A6" w:rsidRDefault="007A17A6" w:rsidP="007A17A6">
      <w:pPr>
        <w:ind w:right="-425"/>
      </w:pPr>
      <w:r>
        <w:t>Глава администрации</w:t>
      </w:r>
    </w:p>
    <w:p w:rsidR="007A17A6" w:rsidRDefault="007A17A6" w:rsidP="007A17A6">
      <w:r>
        <w:t xml:space="preserve">Рыбкинского сельсовета                                                           Ю.П.Колесников    </w:t>
      </w:r>
    </w:p>
    <w:p w:rsidR="007A17A6" w:rsidRDefault="007A17A6" w:rsidP="007A17A6"/>
    <w:p w:rsidR="007A17A6" w:rsidRDefault="007A17A6" w:rsidP="007A17A6"/>
    <w:p w:rsidR="007A17A6" w:rsidRDefault="007A17A6" w:rsidP="007A17A6"/>
    <w:p w:rsidR="007A17A6" w:rsidRDefault="007A17A6" w:rsidP="007A17A6">
      <w:r>
        <w:t>Разослано:   прокурору, в дело</w:t>
      </w:r>
    </w:p>
    <w:p w:rsidR="007A17A6" w:rsidRDefault="007A17A6" w:rsidP="007A17A6">
      <w:pPr>
        <w:shd w:val="clear" w:color="auto" w:fill="FFFFFF"/>
        <w:jc w:val="right"/>
        <w:rPr>
          <w:color w:val="000000"/>
        </w:rPr>
      </w:pPr>
      <w:r>
        <w:rPr>
          <w:color w:val="000000"/>
        </w:rPr>
        <w:t xml:space="preserve">                                                                        </w:t>
      </w: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bCs w:val="0"/>
          <w:iCs/>
          <w:color w:val="000000"/>
        </w:rPr>
      </w:pPr>
    </w:p>
    <w:p w:rsidR="007A17A6" w:rsidRDefault="007A17A6" w:rsidP="007A17A6">
      <w:pPr>
        <w:shd w:val="clear" w:color="auto" w:fill="FFFFFF"/>
        <w:jc w:val="right"/>
        <w:rPr>
          <w:color w:val="000000"/>
        </w:rPr>
      </w:pPr>
      <w:r>
        <w:rPr>
          <w:bCs w:val="0"/>
          <w:iCs/>
          <w:color w:val="000000"/>
        </w:rPr>
        <w:lastRenderedPageBreak/>
        <w:t>Приложение № 1</w:t>
      </w:r>
    </w:p>
    <w:p w:rsidR="007A17A6" w:rsidRDefault="007A17A6" w:rsidP="007A17A6">
      <w:pPr>
        <w:shd w:val="clear" w:color="auto" w:fill="FFFFFF"/>
        <w:jc w:val="right"/>
        <w:rPr>
          <w:color w:val="000000"/>
        </w:rPr>
      </w:pPr>
      <w:r>
        <w:rPr>
          <w:bCs w:val="0"/>
          <w:iCs/>
          <w:color w:val="000000"/>
        </w:rPr>
        <w:t>к постановлению администрации</w:t>
      </w:r>
    </w:p>
    <w:p w:rsidR="007A17A6" w:rsidRDefault="007A17A6" w:rsidP="007A17A6">
      <w:pPr>
        <w:shd w:val="clear" w:color="auto" w:fill="FFFFFF"/>
        <w:jc w:val="right"/>
        <w:rPr>
          <w:color w:val="000000"/>
        </w:rPr>
      </w:pPr>
      <w:r>
        <w:rPr>
          <w:bCs w:val="0"/>
          <w:iCs/>
          <w:color w:val="000000"/>
        </w:rPr>
        <w:t xml:space="preserve">                                                        Рыбкинского сельсовета</w:t>
      </w:r>
    </w:p>
    <w:p w:rsidR="007A17A6" w:rsidRDefault="007A17A6" w:rsidP="007A17A6">
      <w:pPr>
        <w:ind w:right="-2"/>
        <w:jc w:val="right"/>
        <w:rPr>
          <w:bCs w:val="0"/>
          <w:iCs/>
          <w:color w:val="000000"/>
          <w:sz w:val="24"/>
          <w:szCs w:val="24"/>
        </w:rPr>
      </w:pPr>
      <w:r>
        <w:rPr>
          <w:bCs w:val="0"/>
          <w:iCs/>
          <w:color w:val="000000"/>
        </w:rPr>
        <w:t xml:space="preserve">                                              от  15.11.2018 г. № 96-п.</w:t>
      </w:r>
      <w:r>
        <w:rPr>
          <w:bCs w:val="0"/>
          <w:iCs/>
          <w:color w:val="000000"/>
          <w:sz w:val="24"/>
          <w:szCs w:val="24"/>
        </w:rPr>
        <w:t xml:space="preserve">     </w:t>
      </w:r>
    </w:p>
    <w:p w:rsidR="007A17A6" w:rsidRDefault="007A17A6" w:rsidP="007A17A6"/>
    <w:p w:rsidR="007A17A6" w:rsidRDefault="007A17A6" w:rsidP="007A17A6"/>
    <w:p w:rsidR="007A17A6" w:rsidRDefault="007A17A6" w:rsidP="007A17A6">
      <w:pPr>
        <w:jc w:val="center"/>
        <w:rPr>
          <w:b/>
        </w:rPr>
      </w:pPr>
      <w:r>
        <w:rPr>
          <w:b/>
        </w:rPr>
        <w:t>Основные направления</w:t>
      </w:r>
    </w:p>
    <w:p w:rsidR="007A17A6" w:rsidRDefault="007A17A6" w:rsidP="007A17A6">
      <w:pPr>
        <w:jc w:val="center"/>
        <w:rPr>
          <w:b/>
        </w:rPr>
      </w:pPr>
      <w:r>
        <w:rPr>
          <w:b/>
        </w:rPr>
        <w:t>бюджетной и налоговой политики на 2019 год</w:t>
      </w:r>
    </w:p>
    <w:p w:rsidR="007A17A6" w:rsidRDefault="007A17A6" w:rsidP="007A17A6">
      <w:pPr>
        <w:jc w:val="center"/>
        <w:rPr>
          <w:b/>
        </w:rPr>
      </w:pPr>
      <w:r>
        <w:rPr>
          <w:b/>
        </w:rPr>
        <w:t>и на плановый период 2020 и 2021 годов</w:t>
      </w:r>
    </w:p>
    <w:p w:rsidR="007A17A6" w:rsidRDefault="007A17A6" w:rsidP="007A17A6">
      <w:pPr>
        <w:jc w:val="center"/>
      </w:pPr>
    </w:p>
    <w:p w:rsidR="007A17A6" w:rsidRDefault="007A17A6" w:rsidP="007A17A6">
      <w:pPr>
        <w:ind w:firstLine="708"/>
        <w:jc w:val="both"/>
      </w:pPr>
      <w:proofErr w:type="gramStart"/>
      <w:r>
        <w:t>Основные направления бюджетной и налоговой политики на 2019 год и на плановый период 2020–2021 годов разработаны с учетом стратегических целей, сформулированных в посланиях Президента Российской Федерации Федеральному Собранию Российской Федерации, Указе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Президента от 7</w:t>
      </w:r>
      <w:proofErr w:type="gramEnd"/>
      <w:r>
        <w:t xml:space="preserve"> мая 2018 года), муниципальных программ. Кроме того, при определении бюджетной и налоговой </w:t>
      </w:r>
      <w:proofErr w:type="gramStart"/>
      <w:r>
        <w:t>политики на</w:t>
      </w:r>
      <w:proofErr w:type="gramEnd"/>
      <w:r>
        <w:t xml:space="preserve"> ближайшую перспективу использованы сценарные условия социально-экономического развития муниципального образования Рыбкинский сельсовет Новосергиевского района Оренбургской области на 2019 год и плановый период 2020 и 2021 годов.</w:t>
      </w:r>
    </w:p>
    <w:p w:rsidR="007A17A6" w:rsidRDefault="007A17A6" w:rsidP="007A17A6">
      <w:pPr>
        <w:widowControl w:val="0"/>
        <w:overflowPunct w:val="0"/>
        <w:autoSpaceDE w:val="0"/>
        <w:autoSpaceDN w:val="0"/>
        <w:adjustRightInd w:val="0"/>
        <w:ind w:firstLine="709"/>
        <w:jc w:val="both"/>
        <w:textAlignment w:val="baseline"/>
      </w:pPr>
    </w:p>
    <w:p w:rsidR="007A17A6" w:rsidRDefault="007A17A6" w:rsidP="007A17A6">
      <w:pPr>
        <w:ind w:firstLine="709"/>
        <w:jc w:val="center"/>
        <w:rPr>
          <w:b/>
        </w:rPr>
      </w:pPr>
      <w:r>
        <w:rPr>
          <w:b/>
        </w:rPr>
        <w:t>Итоги реализации бюджетной и налоговой политики</w:t>
      </w:r>
    </w:p>
    <w:p w:rsidR="007A17A6" w:rsidRDefault="007A17A6" w:rsidP="007A17A6">
      <w:pPr>
        <w:ind w:firstLine="709"/>
        <w:jc w:val="center"/>
        <w:rPr>
          <w:b/>
        </w:rPr>
      </w:pPr>
      <w:r>
        <w:rPr>
          <w:b/>
        </w:rPr>
        <w:t>в 2017 году и первой половине 2018 года</w:t>
      </w:r>
    </w:p>
    <w:p w:rsidR="007A17A6" w:rsidRDefault="007A17A6" w:rsidP="007A17A6">
      <w:pPr>
        <w:widowControl w:val="0"/>
        <w:overflowPunct w:val="0"/>
        <w:autoSpaceDE w:val="0"/>
        <w:autoSpaceDN w:val="0"/>
        <w:adjustRightInd w:val="0"/>
        <w:ind w:firstLine="709"/>
        <w:jc w:val="center"/>
        <w:textAlignment w:val="baseline"/>
        <w:rPr>
          <w:b/>
        </w:rPr>
      </w:pPr>
    </w:p>
    <w:p w:rsidR="007A17A6" w:rsidRDefault="007A17A6" w:rsidP="007A17A6">
      <w:pPr>
        <w:ind w:firstLine="709"/>
        <w:jc w:val="center"/>
        <w:rPr>
          <w:b/>
        </w:rPr>
      </w:pPr>
      <w:r>
        <w:rPr>
          <w:b/>
        </w:rPr>
        <w:t>Доходы бюджета поселения</w:t>
      </w:r>
    </w:p>
    <w:p w:rsidR="007A17A6" w:rsidRDefault="007A17A6" w:rsidP="007A17A6">
      <w:pPr>
        <w:ind w:firstLine="709"/>
        <w:jc w:val="both"/>
      </w:pPr>
    </w:p>
    <w:p w:rsidR="007A17A6" w:rsidRDefault="007A17A6" w:rsidP="007A17A6">
      <w:pPr>
        <w:ind w:firstLine="709"/>
        <w:jc w:val="both"/>
      </w:pPr>
      <w:proofErr w:type="gramStart"/>
      <w:r>
        <w:t>Исполнение консолидированного бюджета по доходам в 2017 году осуществлялось с учетом положений, установленных постановлением Правительства Оренбургской области от 31 марта 2017 года N 224-п "Об утверждении программы консолидации бюджетных средств и оптимизации бюджетных расходов Оренбургской области на 2017- 2019 годы»,  а также указов Губернатора Оренбургской области от 26 декабря 2016 года № 751-ук «О мерах по реализации Закона Оренбургской области «Об</w:t>
      </w:r>
      <w:proofErr w:type="gramEnd"/>
      <w:r>
        <w:t xml:space="preserve"> областном </w:t>
      </w:r>
      <w:proofErr w:type="gramStart"/>
      <w:r>
        <w:t>бюджете</w:t>
      </w:r>
      <w:proofErr w:type="gramEnd"/>
      <w:r>
        <w:t xml:space="preserve"> на 2017 год и на плановый период 2018 и 2019 годов».</w:t>
      </w:r>
    </w:p>
    <w:p w:rsidR="007A17A6" w:rsidRDefault="007A17A6" w:rsidP="007A17A6">
      <w:pPr>
        <w:ind w:firstLine="709"/>
        <w:jc w:val="both"/>
      </w:pPr>
      <w:r>
        <w:t xml:space="preserve">В 2017 году в структуре налоговых и неналоговых доходов бюджета поселения   наибольший удельный вес занимал налог на доходы физических лиц.  </w:t>
      </w:r>
    </w:p>
    <w:p w:rsidR="007A17A6" w:rsidRDefault="007A17A6" w:rsidP="007A17A6">
      <w:pPr>
        <w:ind w:firstLine="709"/>
        <w:jc w:val="both"/>
      </w:pPr>
      <w:proofErr w:type="gramStart"/>
      <w:r>
        <w:t xml:space="preserve">На территории муниципального образования Рыбкинский сельсовет Новосергиевского района в соответствии с Законом Оренбургской области от 12 ноября 2015 года N 3457/971-V-ОЗ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w:t>
      </w:r>
      <w:r>
        <w:lastRenderedPageBreak/>
        <w:t>начала применения порядка определения налоговой базы по налогу на</w:t>
      </w:r>
      <w:proofErr w:type="gramEnd"/>
      <w:r>
        <w:t xml:space="preserve"> имущество физических лиц исходя из кадастровой стоимости объектов налогообложения - 1 января 2017 года.</w:t>
      </w:r>
    </w:p>
    <w:p w:rsidR="007A17A6" w:rsidRDefault="007A17A6" w:rsidP="007A17A6">
      <w:pPr>
        <w:ind w:firstLine="709"/>
        <w:jc w:val="both"/>
      </w:pPr>
    </w:p>
    <w:p w:rsidR="007A17A6" w:rsidRDefault="007A17A6" w:rsidP="007A17A6">
      <w:pPr>
        <w:ind w:firstLine="709"/>
        <w:jc w:val="center"/>
        <w:rPr>
          <w:b/>
        </w:rPr>
      </w:pPr>
      <w:r>
        <w:rPr>
          <w:b/>
        </w:rPr>
        <w:t>Внешние условия реализации налоговой политики муниципального образования Рыбкинский сельсовет Новосергиевского района на  2019 год и на плановый период 2020 и 2021 годов</w:t>
      </w:r>
    </w:p>
    <w:p w:rsidR="007A17A6" w:rsidRDefault="007A17A6" w:rsidP="007A17A6">
      <w:pPr>
        <w:ind w:firstLine="709"/>
        <w:jc w:val="center"/>
      </w:pPr>
    </w:p>
    <w:p w:rsidR="007A17A6" w:rsidRDefault="007A17A6" w:rsidP="007A17A6">
      <w:pPr>
        <w:ind w:firstLine="709"/>
        <w:jc w:val="both"/>
      </w:pPr>
      <w:r>
        <w:t>На налоговую политику муниципального образования Рыбкинский сельсовет Новосергиевского района на 2019 год и на плановый период 2020 и 2021 годов будут оказывать влияние внешние факторы, прежде всего изменения в федеральном законодательстве.</w:t>
      </w:r>
    </w:p>
    <w:p w:rsidR="007A17A6" w:rsidRDefault="007A17A6" w:rsidP="007A17A6">
      <w:pPr>
        <w:ind w:firstLine="709"/>
        <w:jc w:val="both"/>
      </w:pPr>
      <w:r>
        <w:t>В целях обеспечения полноты и своевременности уплаты НДФЛ введено право самостоятельного исчисления налоговым органом НДФЛ в случае непредставления налогоплательщиком налоговой декларации при продаже недвижимого имущества (с учетом кадастровой стоимости указанного имущества).</w:t>
      </w:r>
    </w:p>
    <w:p w:rsidR="007A17A6" w:rsidRDefault="007A17A6" w:rsidP="007A17A6">
      <w:pPr>
        <w:ind w:firstLine="709"/>
        <w:jc w:val="both"/>
      </w:pPr>
      <w:r>
        <w:t>Уточнен порядок исчисления и уплаты НДФЛ индивидуальными предпринимателями с учетом отмены декларирования предполагаемого дохода налогоплательщиками, применяющими УСН с объектом налогообложения в виде доходов и использующими контрольно-кассовую технику, обеспечивающую передачу фискальных данных в налоговые органы в режиме «онлайн».</w:t>
      </w:r>
    </w:p>
    <w:p w:rsidR="007A17A6" w:rsidRDefault="007A17A6" w:rsidP="007A17A6">
      <w:pPr>
        <w:ind w:firstLine="709"/>
        <w:jc w:val="both"/>
      </w:pPr>
      <w:r>
        <w:t>С 1 января 2019 года движимое имущество исключается из объектов обложения налогом на имущество организаций для создания стимулов для ускоренного внедрения и развития технологий отечественной промышленности, а также обновления активной части основных фондов организаций (машин, оборудования).</w:t>
      </w:r>
    </w:p>
    <w:p w:rsidR="007A17A6" w:rsidRDefault="007A17A6" w:rsidP="007A17A6">
      <w:pPr>
        <w:ind w:firstLine="709"/>
        <w:jc w:val="both"/>
      </w:pPr>
      <w:r>
        <w:t>При подаче заявления о государственной регистрации юридических лиц и индивидуальных предпринимателей в форме электронного документа планируется снижение размера государственной пошлины «до нуля» при подаче заявления о государственной регистрации юридических лиц и индивидуальных предпринимателей в форме электронного документа («старт за ноль»).</w:t>
      </w:r>
    </w:p>
    <w:p w:rsidR="007A17A6" w:rsidRDefault="007A17A6" w:rsidP="007A17A6">
      <w:pPr>
        <w:ind w:firstLine="709"/>
        <w:jc w:val="center"/>
      </w:pPr>
    </w:p>
    <w:p w:rsidR="007A17A6" w:rsidRDefault="007A17A6" w:rsidP="007A17A6">
      <w:pPr>
        <w:ind w:firstLine="709"/>
        <w:jc w:val="center"/>
        <w:rPr>
          <w:b/>
        </w:rPr>
      </w:pPr>
      <w:r>
        <w:rPr>
          <w:b/>
        </w:rPr>
        <w:t>Расходы бюджета поселения</w:t>
      </w:r>
    </w:p>
    <w:p w:rsidR="007A17A6" w:rsidRDefault="007A17A6" w:rsidP="007A17A6">
      <w:pPr>
        <w:ind w:firstLine="709"/>
        <w:jc w:val="both"/>
      </w:pPr>
    </w:p>
    <w:p w:rsidR="007A17A6" w:rsidRDefault="007A17A6" w:rsidP="007A17A6">
      <w:pPr>
        <w:ind w:firstLine="709"/>
        <w:jc w:val="both"/>
      </w:pPr>
      <w:r>
        <w:t>В 2017 году и первой половине 2018 года расходы бюджета поселения планировались и производились исходя из приоритетов, к которым в первую очередь относились безусловное исполнение указов Президента и в полном объеме исполнение принятых социальных обязательств.</w:t>
      </w:r>
    </w:p>
    <w:p w:rsidR="007A17A6" w:rsidRDefault="007A17A6" w:rsidP="007A17A6">
      <w:pPr>
        <w:ind w:firstLine="709"/>
        <w:jc w:val="both"/>
      </w:pPr>
      <w:r>
        <w:t>В полном объеме выполняются публичные обязательства муниципального образования Рыбкинский сельсовет Новосергиевского района.</w:t>
      </w:r>
    </w:p>
    <w:p w:rsidR="007A17A6" w:rsidRDefault="007A17A6" w:rsidP="007A17A6">
      <w:pPr>
        <w:ind w:firstLine="709"/>
        <w:jc w:val="both"/>
      </w:pPr>
      <w:r>
        <w:lastRenderedPageBreak/>
        <w:t>По итогам 2017 года показатели средней заработной платы были достигнуты по всем категориям работников бюджетной сферы.</w:t>
      </w:r>
    </w:p>
    <w:p w:rsidR="007A17A6" w:rsidRDefault="007A17A6" w:rsidP="007A17A6">
      <w:pPr>
        <w:ind w:firstLine="709"/>
        <w:jc w:val="both"/>
      </w:pPr>
      <w:r>
        <w:t xml:space="preserve">Минимальный </w:t>
      </w:r>
      <w:proofErr w:type="gramStart"/>
      <w:r>
        <w:t>размер оплаты труда</w:t>
      </w:r>
      <w:proofErr w:type="gramEnd"/>
      <w:r>
        <w:t xml:space="preserve"> (далее - МРОТ), составлявший по состоянию на 1 января 2017 года 7800 рублей, был увеличен с 1 января 2018 года до 9489 рублей и с 1 мая 2018 года - до 11163 рублей. Поскольку МРОТ выплачивается с учетом районного коэффициента, его фактический размер в Оренбургской области с 1 мая 2018 года составляет 12837 рублей. Соответствующее увеличение расходов было в полном объеме предусмотрено в местном бюджете.</w:t>
      </w:r>
    </w:p>
    <w:p w:rsidR="007A17A6" w:rsidRDefault="007A17A6" w:rsidP="007A17A6">
      <w:pPr>
        <w:ind w:firstLine="709"/>
        <w:jc w:val="both"/>
      </w:pPr>
      <w:proofErr w:type="gramStart"/>
      <w:r>
        <w:t>В целях повышения операционной эффективности и оптимизации расходов на содержание органов местного самоуправления часть полномочий, по подготовке проектов документов и расчетов, необходимых для составления проекта бюджета, исполнения бюджета, формирования бюджетной отчетности об исполнении бюджета муниципального образования  Рыбкинский сельсовет Новосергиевского района и полномочий по ведению бюджетного учета и формированию бюджетной отчетности администрации муниципального образования Новосергиевский район, переданы в МКУ «Центр бюджетного</w:t>
      </w:r>
      <w:proofErr w:type="gramEnd"/>
      <w:r>
        <w:t xml:space="preserve"> (бухгалтерского) учета и отчетности Новосергиевского района» при </w:t>
      </w:r>
      <w:proofErr w:type="spellStart"/>
      <w:r>
        <w:t>Новосергиевском</w:t>
      </w:r>
      <w:proofErr w:type="spellEnd"/>
      <w:r>
        <w:t xml:space="preserve"> финансовом отделе, </w:t>
      </w:r>
      <w:proofErr w:type="gramStart"/>
      <w:r>
        <w:t>централизующий</w:t>
      </w:r>
      <w:proofErr w:type="gramEnd"/>
      <w:r>
        <w:t xml:space="preserve"> функции по учету и отчетности в органах местного самоуправления района и муниципальных учреждениях.</w:t>
      </w:r>
    </w:p>
    <w:p w:rsidR="007A17A6" w:rsidRDefault="007A17A6" w:rsidP="007A17A6">
      <w:pPr>
        <w:ind w:firstLine="709"/>
        <w:jc w:val="both"/>
      </w:pPr>
      <w:r>
        <w:t xml:space="preserve">Действия муниципального образования Рыбкинский сельсовет Новосергиевского района направлены на развитие различных форм участия и вовлечения жителей в решение вопросов местного значения. Реализуется </w:t>
      </w:r>
      <w:proofErr w:type="gramStart"/>
      <w:r>
        <w:t>инициативное</w:t>
      </w:r>
      <w:proofErr w:type="gramEnd"/>
      <w:r>
        <w:t xml:space="preserve"> бюджетирование на муниципальном уровне.</w:t>
      </w:r>
    </w:p>
    <w:p w:rsidR="007A17A6" w:rsidRDefault="007A17A6" w:rsidP="007A17A6">
      <w:pPr>
        <w:ind w:firstLine="709"/>
        <w:jc w:val="both"/>
      </w:pPr>
      <w:r>
        <w:t xml:space="preserve">В 2017 году министерством финансов Оренбургской области совместно с заинтересованными органами исполнительной власти Оренбургской области был внедрен механизм инициативного бюджетирования, целью которого является обеспечение широкого вовлечения граждан в процедуры обсуждения и принятия бюджетных решений. </w:t>
      </w:r>
    </w:p>
    <w:p w:rsidR="007A17A6" w:rsidRDefault="007A17A6" w:rsidP="007A17A6">
      <w:pPr>
        <w:ind w:firstLine="709"/>
        <w:jc w:val="center"/>
        <w:rPr>
          <w:b/>
        </w:rPr>
      </w:pPr>
    </w:p>
    <w:p w:rsidR="007A17A6" w:rsidRDefault="007A17A6" w:rsidP="007A17A6">
      <w:pPr>
        <w:ind w:firstLine="709"/>
        <w:jc w:val="center"/>
        <w:rPr>
          <w:b/>
        </w:rPr>
      </w:pPr>
      <w:r>
        <w:rPr>
          <w:b/>
        </w:rPr>
        <w:t>Дефицит бюджета поселения</w:t>
      </w:r>
    </w:p>
    <w:p w:rsidR="007A17A6" w:rsidRDefault="007A17A6" w:rsidP="007A17A6">
      <w:pPr>
        <w:ind w:firstLine="709"/>
        <w:jc w:val="center"/>
      </w:pPr>
    </w:p>
    <w:p w:rsidR="007A17A6" w:rsidRDefault="007A17A6" w:rsidP="007A17A6">
      <w:pPr>
        <w:ind w:firstLine="709"/>
        <w:jc w:val="both"/>
      </w:pPr>
      <w:r>
        <w:t xml:space="preserve">В 2017 году по сравнению с первоначально утвержденным нулевым значением, плановый дефицит бюджета поселения на конец года составил 0,00 </w:t>
      </w:r>
      <w:proofErr w:type="spellStart"/>
      <w:r>
        <w:t>тыс</w:t>
      </w:r>
      <w:proofErr w:type="gramStart"/>
      <w:r>
        <w:t>.р</w:t>
      </w:r>
      <w:proofErr w:type="gramEnd"/>
      <w:r>
        <w:t>ублей</w:t>
      </w:r>
      <w:proofErr w:type="spellEnd"/>
      <w:r>
        <w:t xml:space="preserve">. </w:t>
      </w:r>
    </w:p>
    <w:p w:rsidR="007A17A6" w:rsidRDefault="007A17A6" w:rsidP="007A17A6">
      <w:pPr>
        <w:ind w:firstLine="709"/>
        <w:jc w:val="both"/>
      </w:pPr>
      <w:r>
        <w:t>На 2018 год местный бюджет запланирован без дефицита.</w:t>
      </w:r>
    </w:p>
    <w:p w:rsidR="007A17A6" w:rsidRDefault="007A17A6" w:rsidP="007A17A6">
      <w:pPr>
        <w:ind w:firstLine="709"/>
        <w:jc w:val="center"/>
      </w:pPr>
    </w:p>
    <w:p w:rsidR="007A17A6" w:rsidRDefault="007A17A6" w:rsidP="007A17A6">
      <w:pPr>
        <w:jc w:val="center"/>
        <w:rPr>
          <w:b/>
        </w:rPr>
      </w:pPr>
      <w:r>
        <w:rPr>
          <w:b/>
        </w:rPr>
        <w:t>Цели и задачи бюджетной и налоговой политики</w:t>
      </w:r>
    </w:p>
    <w:p w:rsidR="007A17A6" w:rsidRDefault="007A17A6" w:rsidP="007A17A6">
      <w:pPr>
        <w:ind w:firstLine="709"/>
        <w:jc w:val="center"/>
        <w:rPr>
          <w:b/>
        </w:rPr>
      </w:pPr>
      <w:r>
        <w:rPr>
          <w:b/>
        </w:rPr>
        <w:t>муниципального образования Рыбкинский сельсовет Новосергиевского района на 2019 год и на плановый период 2020 и 2021 годов</w:t>
      </w:r>
    </w:p>
    <w:p w:rsidR="007A17A6" w:rsidRDefault="007A17A6" w:rsidP="007A17A6">
      <w:pPr>
        <w:ind w:firstLine="709"/>
        <w:jc w:val="center"/>
        <w:rPr>
          <w:b/>
        </w:rPr>
      </w:pPr>
    </w:p>
    <w:p w:rsidR="007A17A6" w:rsidRDefault="007A17A6" w:rsidP="007A17A6">
      <w:pPr>
        <w:ind w:firstLine="709"/>
        <w:jc w:val="center"/>
        <w:rPr>
          <w:b/>
        </w:rPr>
      </w:pPr>
      <w:r>
        <w:rPr>
          <w:b/>
        </w:rPr>
        <w:t>Доходы местного  бюджета</w:t>
      </w:r>
    </w:p>
    <w:p w:rsidR="007A17A6" w:rsidRDefault="007A17A6" w:rsidP="007A17A6">
      <w:pPr>
        <w:ind w:firstLine="709"/>
        <w:jc w:val="both"/>
      </w:pPr>
    </w:p>
    <w:p w:rsidR="007A17A6" w:rsidRDefault="007A17A6" w:rsidP="007A17A6">
      <w:pPr>
        <w:ind w:firstLine="709"/>
        <w:jc w:val="both"/>
      </w:pPr>
      <w:r>
        <w:lastRenderedPageBreak/>
        <w:t>Сохраняют актуальность следующие задачи:</w:t>
      </w:r>
    </w:p>
    <w:p w:rsidR="007A17A6" w:rsidRDefault="007A17A6" w:rsidP="007A17A6">
      <w:pPr>
        <w:ind w:firstLine="709"/>
        <w:jc w:val="both"/>
      </w:pPr>
      <w:r>
        <w:t>1.</w:t>
      </w:r>
      <w:r>
        <w:tab/>
        <w:t>Внедрение системы управления налоговыми расходами (выпадающими доходами бюджета, обусловленными налоговыми льготами, преференциями по налогам и сборам, предусмотренным в качестве мер государственной поддержки в соответствии с целями государственных программ и (или) целями социально-экономической политики, не относящимися к государственным программам) и обеспечение ее интеграции в бюджетный процесс.</w:t>
      </w:r>
    </w:p>
    <w:p w:rsidR="007A17A6" w:rsidRDefault="007A17A6" w:rsidP="007A17A6">
      <w:pPr>
        <w:ind w:firstLine="709"/>
        <w:jc w:val="both"/>
      </w:pPr>
      <w:r>
        <w:t>2.</w:t>
      </w:r>
      <w:r>
        <w:tab/>
        <w:t>Распределение действующих налоговых льгот по местным налогам по муниципальным программам.</w:t>
      </w:r>
    </w:p>
    <w:p w:rsidR="007A17A6" w:rsidRDefault="007A17A6" w:rsidP="007A17A6">
      <w:pPr>
        <w:ind w:firstLine="709"/>
        <w:jc w:val="both"/>
      </w:pPr>
      <w:r>
        <w:t>З. Корректировка существующей методики оценки эффективности налоговых льгот, в том числе предоставляемых физическим лицам.</w:t>
      </w:r>
    </w:p>
    <w:p w:rsidR="007A17A6" w:rsidRDefault="007A17A6" w:rsidP="007A17A6">
      <w:pPr>
        <w:ind w:firstLine="709"/>
        <w:jc w:val="both"/>
      </w:pPr>
      <w:r>
        <w:t>4. Определение конечных сроков действия льготных режимов и целевых индикаторов, механизмов регулярной оценки эффективности льготы с точки зрения поставленных целей и механизмов корректировки или отмены в случае, если цели не достигаются.</w:t>
      </w:r>
    </w:p>
    <w:p w:rsidR="007A17A6" w:rsidRDefault="007A17A6" w:rsidP="007A17A6">
      <w:pPr>
        <w:ind w:firstLine="709"/>
        <w:jc w:val="both"/>
      </w:pPr>
      <w:r>
        <w:t xml:space="preserve">В 2019—2021 годах планируется проведение комплекса мер в области улучшения администрирования доходов бюджета, в том числе за счет дальнейшей </w:t>
      </w:r>
      <w:proofErr w:type="spellStart"/>
      <w:r>
        <w:t>цифровизации</w:t>
      </w:r>
      <w:proofErr w:type="spellEnd"/>
      <w: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 При этом особое внимание будет уделяться повышению собираемости зарплатных налогов, а также созданию единой информационной среды налоговых органов.</w:t>
      </w:r>
    </w:p>
    <w:p w:rsidR="007A17A6" w:rsidRDefault="007A17A6" w:rsidP="007A17A6">
      <w:pPr>
        <w:ind w:firstLine="709"/>
        <w:jc w:val="both"/>
      </w:pPr>
      <w:r>
        <w:t>В целях улучшения условий исполнения физическими лицами обязанности по уплате платежей, регулируемых Налоговым кодексом Российской Федерации, планируется предоставление им права:</w:t>
      </w:r>
    </w:p>
    <w:p w:rsidR="007A17A6" w:rsidRDefault="007A17A6" w:rsidP="007A17A6">
      <w:pPr>
        <w:ind w:firstLine="709"/>
        <w:jc w:val="both"/>
      </w:pPr>
      <w:r>
        <w:t>уплаты таких платежей через многофункциональные центры предоставления государственных и муниципальных услуг в случаях, когда регионом на них возложены соответствующие функции; добровольного перечисления в бюджетную систему Российской Федерации единого платежа в счет предстоящей уплаты транспортного налога, земельного налога и налога на имущество физических лиц.</w:t>
      </w:r>
    </w:p>
    <w:p w:rsidR="007A17A6" w:rsidRDefault="007A17A6" w:rsidP="007A17A6">
      <w:pPr>
        <w:ind w:firstLine="709"/>
        <w:jc w:val="both"/>
      </w:pPr>
      <w:r>
        <w:t>Результатами проводимой работы должно стать дальнейшее увеличение платежей в бюджеты всех уровней, обеление соответствующих секторов экономики.</w:t>
      </w:r>
    </w:p>
    <w:p w:rsidR="007A17A6" w:rsidRDefault="007A17A6" w:rsidP="007A17A6">
      <w:pPr>
        <w:ind w:firstLine="708"/>
        <w:jc w:val="center"/>
      </w:pPr>
    </w:p>
    <w:p w:rsidR="007A17A6" w:rsidRDefault="007A17A6" w:rsidP="007A17A6">
      <w:pPr>
        <w:ind w:firstLine="708"/>
        <w:jc w:val="center"/>
        <w:rPr>
          <w:b/>
        </w:rPr>
      </w:pPr>
      <w:r>
        <w:rPr>
          <w:b/>
        </w:rPr>
        <w:t>Расходы бюджета поселения</w:t>
      </w:r>
    </w:p>
    <w:p w:rsidR="007A17A6" w:rsidRDefault="007A17A6" w:rsidP="007A17A6">
      <w:pPr>
        <w:tabs>
          <w:tab w:val="left" w:pos="3435"/>
        </w:tabs>
        <w:ind w:firstLine="708"/>
      </w:pPr>
      <w:r>
        <w:tab/>
      </w:r>
    </w:p>
    <w:p w:rsidR="007A17A6" w:rsidRDefault="007A17A6" w:rsidP="007A17A6">
      <w:pPr>
        <w:ind w:firstLine="709"/>
        <w:jc w:val="both"/>
      </w:pPr>
      <w:r>
        <w:t>Формирование бюджетных ассигнований бюджета поселения на 2019 год и на плановый период 2020 и 2021 годов будет осуществляться с учетом необходимости решения задач, поставленных в Указе Президента от 7 мая 2018 года, приоритетного направления бюджетных средств на реализацию национальных проектов.</w:t>
      </w:r>
    </w:p>
    <w:p w:rsidR="007A17A6" w:rsidRDefault="007A17A6" w:rsidP="007A17A6">
      <w:pPr>
        <w:ind w:firstLine="709"/>
        <w:jc w:val="both"/>
      </w:pPr>
      <w:proofErr w:type="gramStart"/>
      <w:r>
        <w:lastRenderedPageBreak/>
        <w:t>Планирование предельных объемов бюджетных ассигнований бюджета поселения на 2019 и 2020 годы будет осуществляться исходя из "базовых" объемов, утвержденных решением утвержденных решением  Совета депутатов от 22.12.2017 года  № 30/1 р. с «</w:t>
      </w:r>
      <w:r>
        <w:rPr>
          <w:bCs w:val="0"/>
        </w:rPr>
        <w:t>О бюджете муниципального образования Рыбкинский сельсовет Новосергиевского района Оренбургской области на 2018 год и плановый период 2019-2020 годы</w:t>
      </w:r>
      <w:r>
        <w:t>»</w:t>
      </w:r>
      <w:r>
        <w:rPr>
          <w:b/>
        </w:rPr>
        <w:t xml:space="preserve"> </w:t>
      </w:r>
      <w:r>
        <w:t xml:space="preserve"> с учетом особенностей планирования бюджетных ассигнований, установленных методикой формирования бюджета поселения.</w:t>
      </w:r>
      <w:proofErr w:type="gramEnd"/>
    </w:p>
    <w:p w:rsidR="007A17A6" w:rsidRDefault="007A17A6" w:rsidP="007A17A6">
      <w:pPr>
        <w:ind w:firstLine="709"/>
        <w:jc w:val="both"/>
      </w:pPr>
      <w:r>
        <w:t>В соответствии с соглашением, заключенным с финансовым отделом муниципального образования Новосергиевский район Оренбургской области на предоставление дотации из районного бюджета на выравнивание бюджетной обеспеченности, для муниципального образования Рыбкинский сельсовет Новосергиевского района установлены обязательные к достижению показатели социально-экономического развития и финансового оздоровления экономики.</w:t>
      </w:r>
    </w:p>
    <w:p w:rsidR="007A17A6" w:rsidRDefault="007A17A6" w:rsidP="007A17A6">
      <w:pPr>
        <w:ind w:firstLine="709"/>
        <w:jc w:val="both"/>
      </w:pPr>
      <w:r>
        <w:t>Формирование расходов бюджета поселения на 2019 - 2021 годы будет осуществляться исходя из следующих приоритетов.</w:t>
      </w:r>
    </w:p>
    <w:p w:rsidR="007A17A6" w:rsidRDefault="007A17A6" w:rsidP="007A17A6">
      <w:pPr>
        <w:ind w:firstLine="709"/>
        <w:jc w:val="both"/>
      </w:pPr>
      <w:r>
        <w:t>Первоочередной задачей является направление средств областного бюджета на реализацию национальных проектов в целях решения задач, поставленных в Указе Президента от 7 мая 2018 года.</w:t>
      </w:r>
    </w:p>
    <w:p w:rsidR="007A17A6" w:rsidRDefault="007A17A6" w:rsidP="007A17A6">
      <w:pPr>
        <w:ind w:firstLine="709"/>
        <w:jc w:val="both"/>
      </w:pPr>
      <w:r>
        <w:t>Безусловным остается сохранение в 2019 - 2021 годах уровней соотношений заработной платы отдельных категорий работников бюджетной сферы, достигнутых в 2018 году в соответствии с указами Президента от 7 мая 2012 года и принятыми районными планами мероприятий (дорожными картами) по развитию отраслей социальной сферы.</w:t>
      </w:r>
    </w:p>
    <w:p w:rsidR="007A17A6" w:rsidRDefault="007A17A6" w:rsidP="007A17A6">
      <w:pPr>
        <w:ind w:firstLine="709"/>
        <w:jc w:val="both"/>
      </w:pPr>
      <w:r>
        <w:t>Работникам, не поименованным в указах Президента от 7 мая 2012 года, фонд оплаты труда будет проиндексирован на 4,7 процента с 1 октября 2019 года.</w:t>
      </w:r>
    </w:p>
    <w:p w:rsidR="007A17A6" w:rsidRDefault="007A17A6" w:rsidP="007A17A6">
      <w:pPr>
        <w:ind w:firstLine="709"/>
        <w:jc w:val="both"/>
      </w:pPr>
      <w:r>
        <w:t xml:space="preserve">Объем расходов на оплату труда должен учитывать обеспечение минимального </w:t>
      </w:r>
      <w:proofErr w:type="gramStart"/>
      <w:r>
        <w:t>размера оплаты труда</w:t>
      </w:r>
      <w:proofErr w:type="gramEnd"/>
      <w:r>
        <w:t xml:space="preserve"> в соответствии с решениями, принятыми на федеральном уровне.</w:t>
      </w:r>
    </w:p>
    <w:p w:rsidR="007A17A6" w:rsidRDefault="007A17A6" w:rsidP="007A17A6">
      <w:pPr>
        <w:ind w:firstLine="709"/>
        <w:jc w:val="both"/>
      </w:pPr>
      <w:r>
        <w:t>Расходы на коммунальные услуги в 2019 году будут предусмотрены с учетом увеличения общего объема расходов на 4,7 процента.</w:t>
      </w:r>
    </w:p>
    <w:p w:rsidR="007A17A6" w:rsidRDefault="007A17A6" w:rsidP="007A17A6">
      <w:pPr>
        <w:ind w:firstLine="709"/>
        <w:jc w:val="both"/>
      </w:pPr>
      <w:r>
        <w:t>Необходимость достижения приоритетов и целей, определенных в документах стратегического планирования,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w:t>
      </w:r>
    </w:p>
    <w:p w:rsidR="007A17A6" w:rsidRDefault="007A17A6" w:rsidP="007A17A6">
      <w:pPr>
        <w:ind w:firstLine="709"/>
        <w:jc w:val="both"/>
      </w:pPr>
      <w:r>
        <w:t>Будет продолжено проведение ежегодной оценки эффективности муниципальных программ на этапе формирования проекта бюджета поселения и на этапе оценки результатов исполнения бюджета, ежегодной оценки потребности в оказании муниципальных услуг (дважды в год) и оценки эффективности результативности предоставления межбюджетных субсидий.</w:t>
      </w:r>
    </w:p>
    <w:p w:rsidR="007A17A6" w:rsidRDefault="007A17A6" w:rsidP="007A17A6">
      <w:pPr>
        <w:ind w:firstLine="709"/>
        <w:jc w:val="both"/>
      </w:pPr>
      <w:r>
        <w:lastRenderedPageBreak/>
        <w:t>Повышение эффективности бюджетных расходов требует повышения операционной эффективности использования бюджетных средств. В рамках данной работы необходима реализация следующих мероприятий:</w:t>
      </w:r>
    </w:p>
    <w:p w:rsidR="007A17A6" w:rsidRDefault="007A17A6" w:rsidP="007A17A6">
      <w:pPr>
        <w:ind w:firstLine="709"/>
        <w:jc w:val="both"/>
      </w:pPr>
      <w:r>
        <w:t>оптимизация перечня целевых статей бюджета поселения;</w:t>
      </w:r>
    </w:p>
    <w:p w:rsidR="007A17A6" w:rsidRDefault="007A17A6" w:rsidP="007A17A6">
      <w:pPr>
        <w:ind w:firstLine="709"/>
        <w:jc w:val="both"/>
      </w:pPr>
      <w:r>
        <w:t>дальнейшее совершенствование качества составления и ведения кассового плана исполнения бюджета поселения в целях предупреждения рисков неисполнения социально значимых и первоочередных обязательств;</w:t>
      </w:r>
    </w:p>
    <w:p w:rsidR="007A17A6" w:rsidRDefault="007A17A6" w:rsidP="007A17A6">
      <w:pPr>
        <w:ind w:firstLine="709"/>
        <w:jc w:val="both"/>
      </w:pPr>
      <w:r>
        <w:t xml:space="preserve">ограничение предельных объемов авансовых платежей по закупкам;    </w:t>
      </w:r>
    </w:p>
    <w:p w:rsidR="007A17A6" w:rsidRDefault="007A17A6" w:rsidP="007A17A6">
      <w:pPr>
        <w:ind w:firstLine="709"/>
        <w:jc w:val="both"/>
      </w:pPr>
      <w:r>
        <w:t>систематический мониторинг просроченной кредиторской задолженности, в том числе по исполненным муниципальным контрактам, и принятие мер по ее сокращению и ликвидации;</w:t>
      </w:r>
    </w:p>
    <w:p w:rsidR="007A17A6" w:rsidRDefault="007A17A6" w:rsidP="007A17A6">
      <w:pPr>
        <w:ind w:firstLine="709"/>
        <w:jc w:val="both"/>
      </w:pPr>
      <w:r>
        <w:t>расширение применения механизма казначейского сопровождения;</w:t>
      </w:r>
    </w:p>
    <w:p w:rsidR="007A17A6" w:rsidRDefault="007A17A6" w:rsidP="007A17A6">
      <w:pPr>
        <w:ind w:firstLine="709"/>
        <w:jc w:val="both"/>
      </w:pPr>
      <w:r>
        <w:t>осуществление контроля в сфере закупок в рамках законодательства Российской Федерации;</w:t>
      </w:r>
    </w:p>
    <w:p w:rsidR="007A17A6" w:rsidRDefault="007A17A6" w:rsidP="007A17A6">
      <w:pPr>
        <w:ind w:firstLine="709"/>
        <w:jc w:val="both"/>
      </w:pPr>
      <w:r>
        <w:t>обеспечение открытости бюджетного процесса.</w:t>
      </w:r>
    </w:p>
    <w:p w:rsidR="007A17A6" w:rsidRDefault="007A17A6" w:rsidP="007A17A6">
      <w:pPr>
        <w:ind w:firstLine="709"/>
        <w:jc w:val="both"/>
      </w:pPr>
      <w:r>
        <w:t>Участие населения в обсуждении и принятии бюджетных решений рассматривается не только как одна из задач бюджетной политики, но и как инструмент повышения эффективности бюджетных расходов.</w:t>
      </w:r>
    </w:p>
    <w:p w:rsidR="007A17A6" w:rsidRDefault="007A17A6" w:rsidP="007A17A6">
      <w:pPr>
        <w:ind w:firstLine="709"/>
        <w:jc w:val="both"/>
      </w:pPr>
      <w:r>
        <w:t>Важной задачей для повышения эффективности бюджетных расходов выступает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7A17A6" w:rsidRDefault="007A17A6" w:rsidP="007A17A6">
      <w:pPr>
        <w:ind w:firstLine="709"/>
        <w:jc w:val="both"/>
      </w:pPr>
      <w:r>
        <w:t xml:space="preserve">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финансирования из бюджета проектов, прошедших конкурсный отбор с участием самих граждан. </w:t>
      </w:r>
    </w:p>
    <w:p w:rsidR="007A17A6" w:rsidRDefault="007A17A6" w:rsidP="007A17A6">
      <w:pPr>
        <w:ind w:firstLine="709"/>
        <w:jc w:val="both"/>
      </w:pPr>
    </w:p>
    <w:p w:rsidR="007A17A6" w:rsidRDefault="007A17A6" w:rsidP="007A17A6">
      <w:pPr>
        <w:ind w:firstLine="709"/>
        <w:jc w:val="center"/>
        <w:rPr>
          <w:b/>
        </w:rPr>
      </w:pPr>
      <w:r>
        <w:rPr>
          <w:b/>
        </w:rPr>
        <w:t>Дефицит бюджета поселения</w:t>
      </w:r>
    </w:p>
    <w:p w:rsidR="007A17A6" w:rsidRDefault="007A17A6" w:rsidP="007A17A6">
      <w:pPr>
        <w:ind w:firstLine="709"/>
        <w:jc w:val="both"/>
      </w:pPr>
    </w:p>
    <w:p w:rsidR="007A17A6" w:rsidRDefault="007A17A6" w:rsidP="007A17A6">
      <w:pPr>
        <w:ind w:firstLine="709"/>
        <w:jc w:val="both"/>
      </w:pPr>
      <w:r>
        <w:t xml:space="preserve">В условиях экономии бюджетных средств одним из важных направлений бюджетной политики в текущем году на предстоящую трехлетку будет являться обеспечение </w:t>
      </w:r>
      <w:proofErr w:type="spellStart"/>
      <w:r>
        <w:t>бездефицитности</w:t>
      </w:r>
      <w:proofErr w:type="spellEnd"/>
      <w:r>
        <w:t xml:space="preserve"> бюджета поселения, как по плановым значениям, так и по фактическим.</w:t>
      </w:r>
    </w:p>
    <w:p w:rsidR="007A17A6" w:rsidRDefault="007A17A6" w:rsidP="007A17A6">
      <w:pPr>
        <w:ind w:firstLine="709"/>
        <w:jc w:val="both"/>
      </w:pPr>
      <w:r>
        <w:t xml:space="preserve">В целях </w:t>
      </w:r>
      <w:proofErr w:type="gramStart"/>
      <w:r>
        <w:t>минимизации имеющихся рисков несбалансированности бюджета поселения</w:t>
      </w:r>
      <w:proofErr w:type="gramEnd"/>
      <w:r>
        <w:t xml:space="preserve"> орган местного самоуправления должен обеспечить направление дополнительных поступлений по доходам на снижение бюджетного дефицита, а не на увеличение расходных обязательств.</w:t>
      </w:r>
    </w:p>
    <w:p w:rsidR="007A17A6" w:rsidRDefault="007A17A6" w:rsidP="007A17A6">
      <w:pPr>
        <w:ind w:firstLine="709"/>
        <w:jc w:val="both"/>
      </w:pPr>
      <w:r>
        <w:t>Основным источником финансирования дефицита бюджета поселения будет являться снижение остатков средств на счетах по учету средств бюджета поселения.</w:t>
      </w:r>
    </w:p>
    <w:p w:rsidR="007A17A6" w:rsidRDefault="007A17A6" w:rsidP="007A17A6">
      <w:pPr>
        <w:ind w:firstLine="709"/>
        <w:jc w:val="both"/>
      </w:pPr>
    </w:p>
    <w:p w:rsidR="007A17A6" w:rsidRDefault="007A17A6" w:rsidP="007A17A6">
      <w:pPr>
        <w:jc w:val="both"/>
      </w:pPr>
    </w:p>
    <w:p w:rsidR="007A17A6" w:rsidRDefault="007A17A6" w:rsidP="007A17A6">
      <w:pPr>
        <w:jc w:val="both"/>
      </w:pPr>
    </w:p>
    <w:p w:rsidR="007A17A6" w:rsidRDefault="007A17A6" w:rsidP="007A17A6">
      <w:pPr>
        <w:ind w:firstLine="709"/>
        <w:jc w:val="both"/>
      </w:pPr>
    </w:p>
    <w:p w:rsidR="007A17A6" w:rsidRDefault="007A17A6" w:rsidP="007A17A6">
      <w:pPr>
        <w:ind w:firstLine="709"/>
        <w:jc w:val="both"/>
      </w:pPr>
    </w:p>
    <w:p w:rsidR="007A17A6" w:rsidRDefault="007A17A6" w:rsidP="007A17A6">
      <w:pPr>
        <w:shd w:val="clear" w:color="auto" w:fill="FFFFFF"/>
        <w:jc w:val="right"/>
        <w:rPr>
          <w:color w:val="000000"/>
        </w:rPr>
      </w:pPr>
      <w:r>
        <w:rPr>
          <w:bCs w:val="0"/>
          <w:iCs/>
          <w:color w:val="000000"/>
        </w:rPr>
        <w:lastRenderedPageBreak/>
        <w:t>Приложение № 2</w:t>
      </w:r>
    </w:p>
    <w:p w:rsidR="007A17A6" w:rsidRDefault="007A17A6" w:rsidP="007A17A6">
      <w:pPr>
        <w:shd w:val="clear" w:color="auto" w:fill="FFFFFF"/>
        <w:jc w:val="right"/>
        <w:rPr>
          <w:color w:val="000000"/>
        </w:rPr>
      </w:pPr>
      <w:r>
        <w:rPr>
          <w:bCs w:val="0"/>
          <w:iCs/>
          <w:color w:val="000000"/>
        </w:rPr>
        <w:t>к постановлению администрации</w:t>
      </w:r>
    </w:p>
    <w:p w:rsidR="007A17A6" w:rsidRDefault="007A17A6" w:rsidP="007A17A6">
      <w:pPr>
        <w:shd w:val="clear" w:color="auto" w:fill="FFFFFF"/>
        <w:jc w:val="right"/>
        <w:rPr>
          <w:color w:val="000000"/>
        </w:rPr>
      </w:pPr>
      <w:r>
        <w:rPr>
          <w:bCs w:val="0"/>
          <w:iCs/>
          <w:color w:val="000000"/>
        </w:rPr>
        <w:t xml:space="preserve">                                                        Рыбкинского сельсовета</w:t>
      </w:r>
    </w:p>
    <w:p w:rsidR="007A17A6" w:rsidRDefault="007A17A6" w:rsidP="007A17A6">
      <w:pPr>
        <w:ind w:right="-2"/>
        <w:jc w:val="right"/>
        <w:rPr>
          <w:bCs w:val="0"/>
          <w:iCs/>
          <w:color w:val="000000"/>
          <w:sz w:val="24"/>
          <w:szCs w:val="24"/>
        </w:rPr>
      </w:pPr>
      <w:r>
        <w:rPr>
          <w:bCs w:val="0"/>
          <w:iCs/>
          <w:color w:val="000000"/>
        </w:rPr>
        <w:t xml:space="preserve">                                              от  15.11.2018 г. № 96-п.</w:t>
      </w:r>
      <w:r>
        <w:rPr>
          <w:bCs w:val="0"/>
          <w:iCs/>
          <w:color w:val="000000"/>
          <w:sz w:val="24"/>
          <w:szCs w:val="24"/>
        </w:rPr>
        <w:t xml:space="preserve">     </w:t>
      </w:r>
    </w:p>
    <w:p w:rsidR="007A17A6" w:rsidRDefault="007A17A6" w:rsidP="007A17A6">
      <w:pPr>
        <w:widowControl w:val="0"/>
        <w:overflowPunct w:val="0"/>
        <w:autoSpaceDE w:val="0"/>
        <w:autoSpaceDN w:val="0"/>
        <w:adjustRightInd w:val="0"/>
        <w:jc w:val="center"/>
        <w:textAlignment w:val="baseline"/>
      </w:pPr>
    </w:p>
    <w:p w:rsidR="007A17A6" w:rsidRDefault="007A17A6" w:rsidP="007A17A6">
      <w:pPr>
        <w:widowControl w:val="0"/>
        <w:overflowPunct w:val="0"/>
        <w:autoSpaceDE w:val="0"/>
        <w:autoSpaceDN w:val="0"/>
        <w:adjustRightInd w:val="0"/>
        <w:jc w:val="center"/>
        <w:textAlignment w:val="baseline"/>
        <w:rPr>
          <w:b/>
        </w:rPr>
      </w:pPr>
      <w:r>
        <w:rPr>
          <w:b/>
        </w:rPr>
        <w:t>Основные направления долговой политики</w:t>
      </w:r>
    </w:p>
    <w:p w:rsidR="007A17A6" w:rsidRDefault="007A17A6" w:rsidP="007A17A6">
      <w:pPr>
        <w:widowControl w:val="0"/>
        <w:overflowPunct w:val="0"/>
        <w:autoSpaceDE w:val="0"/>
        <w:autoSpaceDN w:val="0"/>
        <w:adjustRightInd w:val="0"/>
        <w:jc w:val="center"/>
        <w:textAlignment w:val="baseline"/>
        <w:rPr>
          <w:b/>
        </w:rPr>
      </w:pPr>
      <w:r>
        <w:rPr>
          <w:b/>
        </w:rPr>
        <w:t>муниципального образования Рыбкинский сельсовет Новосергиевского района Оренбургской области  на 2019 год и на плановый период 2020 и 2021 годов</w:t>
      </w:r>
    </w:p>
    <w:p w:rsidR="007A17A6" w:rsidRDefault="007A17A6" w:rsidP="007A17A6">
      <w:pPr>
        <w:widowControl w:val="0"/>
        <w:overflowPunct w:val="0"/>
        <w:autoSpaceDE w:val="0"/>
        <w:autoSpaceDN w:val="0"/>
        <w:adjustRightInd w:val="0"/>
        <w:jc w:val="both"/>
        <w:textAlignment w:val="baseline"/>
        <w:rPr>
          <w:b/>
        </w:rPr>
      </w:pPr>
    </w:p>
    <w:p w:rsidR="007A17A6" w:rsidRDefault="007A17A6" w:rsidP="007A17A6">
      <w:pPr>
        <w:widowControl w:val="0"/>
        <w:autoSpaceDE w:val="0"/>
        <w:autoSpaceDN w:val="0"/>
        <w:adjustRightInd w:val="0"/>
        <w:jc w:val="center"/>
        <w:rPr>
          <w:b/>
        </w:rPr>
      </w:pPr>
      <w:r>
        <w:rPr>
          <w:b/>
        </w:rPr>
        <w:t xml:space="preserve">Итоги реализации долговой политики </w:t>
      </w:r>
    </w:p>
    <w:p w:rsidR="007A17A6" w:rsidRDefault="007A17A6" w:rsidP="007A17A6">
      <w:pPr>
        <w:widowControl w:val="0"/>
        <w:autoSpaceDE w:val="0"/>
        <w:autoSpaceDN w:val="0"/>
        <w:adjustRightInd w:val="0"/>
        <w:jc w:val="center"/>
        <w:rPr>
          <w:b/>
        </w:rPr>
      </w:pPr>
      <w:r>
        <w:rPr>
          <w:b/>
        </w:rPr>
        <w:t>муниципального образования Рыбкинский сельсовет  Новосергиевского района Оренбургской области в 2017 и 2018 годах</w:t>
      </w:r>
    </w:p>
    <w:p w:rsidR="007A17A6" w:rsidRDefault="007A17A6" w:rsidP="007A17A6">
      <w:pPr>
        <w:widowControl w:val="0"/>
        <w:overflowPunct w:val="0"/>
        <w:autoSpaceDE w:val="0"/>
        <w:autoSpaceDN w:val="0"/>
        <w:adjustRightInd w:val="0"/>
        <w:ind w:firstLine="709"/>
        <w:jc w:val="center"/>
        <w:textAlignment w:val="baseline"/>
        <w:rPr>
          <w:color w:val="FF0000"/>
        </w:rPr>
      </w:pPr>
    </w:p>
    <w:p w:rsidR="007A17A6" w:rsidRDefault="007A17A6" w:rsidP="007A17A6">
      <w:pPr>
        <w:widowControl w:val="0"/>
        <w:overflowPunct w:val="0"/>
        <w:autoSpaceDE w:val="0"/>
        <w:autoSpaceDN w:val="0"/>
        <w:adjustRightInd w:val="0"/>
        <w:ind w:firstLine="709"/>
        <w:jc w:val="both"/>
        <w:textAlignment w:val="baseline"/>
      </w:pPr>
      <w:r>
        <w:t>Муниципальный долг муниципального образования Рыбкинский сельсовет Новосергиевского района Оренбургской области по состоянию на 1 января 2018 года составил 0,0 тыс. рублей, в том числе</w:t>
      </w:r>
      <w:r>
        <w:rPr>
          <w:vanish/>
        </w:rPr>
        <w:t>Российской Федерации</w:t>
      </w:r>
      <w:r>
        <w:t xml:space="preserve"> по муниципальным гарантиям муниципального образования Рыбкинский сельсовет Новосергиевского района Оренбургской области на 1 января 2018 года 0,0 тыс. рублей.</w:t>
      </w:r>
    </w:p>
    <w:p w:rsidR="007A17A6" w:rsidRDefault="007A17A6" w:rsidP="007A17A6">
      <w:pPr>
        <w:widowControl w:val="0"/>
        <w:overflowPunct w:val="0"/>
        <w:autoSpaceDE w:val="0"/>
        <w:autoSpaceDN w:val="0"/>
        <w:adjustRightInd w:val="0"/>
        <w:ind w:firstLine="709"/>
        <w:jc w:val="both"/>
        <w:textAlignment w:val="baseline"/>
      </w:pPr>
      <w:r>
        <w:t>Исполнение всех долговых обязательств муниципального образования Рыбкинский сельсовет Новосергиевского района Оренбургской области осуществлялось в 2017 году в установленные сроки и в полном объеме.</w:t>
      </w:r>
    </w:p>
    <w:p w:rsidR="007A17A6" w:rsidRDefault="007A17A6" w:rsidP="007A17A6">
      <w:pPr>
        <w:widowControl w:val="0"/>
        <w:overflowPunct w:val="0"/>
        <w:autoSpaceDE w:val="0"/>
        <w:autoSpaceDN w:val="0"/>
        <w:adjustRightInd w:val="0"/>
        <w:ind w:firstLine="709"/>
        <w:jc w:val="both"/>
        <w:textAlignment w:val="baseline"/>
      </w:pPr>
      <w:r>
        <w:t xml:space="preserve"> Расходы по обслуживанию муниципального внутреннего долга муниципального образования Рыбкинский сельсовет Новосергиевского района за 2017 год составили 0,0 тыс. рублей.</w:t>
      </w:r>
    </w:p>
    <w:p w:rsidR="007A17A6" w:rsidRDefault="007A17A6" w:rsidP="007A17A6">
      <w:pPr>
        <w:ind w:firstLine="709"/>
        <w:jc w:val="both"/>
      </w:pPr>
      <w:r>
        <w:rPr>
          <w:bCs w:val="0"/>
        </w:rPr>
        <w:t xml:space="preserve">По состоянию на 01 ноября 2018 года муниципальных гарантий и поручительств муниципальным образованием </w:t>
      </w:r>
      <w:r>
        <w:t xml:space="preserve">Рыбкинский сельсовет </w:t>
      </w:r>
      <w:r>
        <w:rPr>
          <w:bCs w:val="0"/>
        </w:rPr>
        <w:t>Новосергиевский район не предоставлялось.</w:t>
      </w:r>
    </w:p>
    <w:p w:rsidR="007A17A6" w:rsidRDefault="007A17A6" w:rsidP="007A17A6">
      <w:pPr>
        <w:widowControl w:val="0"/>
        <w:overflowPunct w:val="0"/>
        <w:autoSpaceDE w:val="0"/>
        <w:autoSpaceDN w:val="0"/>
        <w:adjustRightInd w:val="0"/>
        <w:ind w:firstLine="709"/>
        <w:jc w:val="both"/>
        <w:textAlignment w:val="baseline"/>
        <w:rPr>
          <w:bCs w:val="0"/>
        </w:rPr>
      </w:pPr>
      <w:r>
        <w:t>Предоставление муниципальных гарантий в  2019–2020 годах не планируется.</w:t>
      </w:r>
    </w:p>
    <w:p w:rsidR="007A17A6" w:rsidRDefault="007A17A6" w:rsidP="007A17A6">
      <w:pPr>
        <w:widowControl w:val="0"/>
        <w:autoSpaceDE w:val="0"/>
        <w:autoSpaceDN w:val="0"/>
        <w:adjustRightInd w:val="0"/>
        <w:jc w:val="center"/>
      </w:pPr>
    </w:p>
    <w:p w:rsidR="007A17A6" w:rsidRDefault="007A17A6" w:rsidP="007A17A6">
      <w:pPr>
        <w:widowControl w:val="0"/>
        <w:autoSpaceDE w:val="0"/>
        <w:autoSpaceDN w:val="0"/>
        <w:adjustRightInd w:val="0"/>
        <w:jc w:val="center"/>
        <w:rPr>
          <w:b/>
        </w:rPr>
      </w:pPr>
      <w:r>
        <w:rPr>
          <w:b/>
        </w:rPr>
        <w:t xml:space="preserve">Основные цели, принципы и задачи долговой политики </w:t>
      </w:r>
    </w:p>
    <w:p w:rsidR="007A17A6" w:rsidRDefault="007A17A6" w:rsidP="007A17A6">
      <w:pPr>
        <w:widowControl w:val="0"/>
        <w:autoSpaceDE w:val="0"/>
        <w:autoSpaceDN w:val="0"/>
        <w:adjustRightInd w:val="0"/>
        <w:jc w:val="center"/>
        <w:rPr>
          <w:b/>
        </w:rPr>
      </w:pPr>
      <w:r>
        <w:rPr>
          <w:b/>
        </w:rPr>
        <w:t>муниципального образования Рыбкинский сельсовет Новосергиевского района</w:t>
      </w:r>
    </w:p>
    <w:p w:rsidR="007A17A6" w:rsidRDefault="007A17A6" w:rsidP="007A17A6">
      <w:pPr>
        <w:widowControl w:val="0"/>
        <w:overflowPunct w:val="0"/>
        <w:autoSpaceDE w:val="0"/>
        <w:autoSpaceDN w:val="0"/>
        <w:adjustRightInd w:val="0"/>
        <w:jc w:val="both"/>
        <w:textAlignment w:val="baseline"/>
      </w:pPr>
    </w:p>
    <w:p w:rsidR="007A17A6" w:rsidRDefault="007A17A6" w:rsidP="007A17A6">
      <w:pPr>
        <w:widowControl w:val="0"/>
        <w:overflowPunct w:val="0"/>
        <w:autoSpaceDE w:val="0"/>
        <w:autoSpaceDN w:val="0"/>
        <w:adjustRightInd w:val="0"/>
        <w:ind w:firstLine="709"/>
        <w:jc w:val="both"/>
        <w:textAlignment w:val="baseline"/>
      </w:pPr>
      <w:proofErr w:type="gramStart"/>
      <w:r>
        <w:t>Под долговой политикой муниципального образования Рыбкинский сельсовет Новосергиевского района Оренбургской области понимается процесс разработки и практической реализации стратегии управления муниципальными заимствованиями муниципального образования Рыбкинский сельсовет Новосергиевского района Оренбургской области в целях поддержания объема долга на экономически безопасном уровне, минимизации стоимости его обслуживания и равномерного распределения во времени связанных с долгом платежей.</w:t>
      </w:r>
      <w:proofErr w:type="gramEnd"/>
    </w:p>
    <w:p w:rsidR="007A17A6" w:rsidRDefault="007A17A6" w:rsidP="007A17A6">
      <w:pPr>
        <w:widowControl w:val="0"/>
        <w:overflowPunct w:val="0"/>
        <w:autoSpaceDE w:val="0"/>
        <w:autoSpaceDN w:val="0"/>
        <w:adjustRightInd w:val="0"/>
        <w:ind w:firstLine="709"/>
        <w:jc w:val="both"/>
        <w:textAlignment w:val="baseline"/>
      </w:pPr>
      <w:r>
        <w:t xml:space="preserve">Управление муниципальным долгом муниципального образования </w:t>
      </w:r>
      <w:r>
        <w:lastRenderedPageBreak/>
        <w:t>Рыбкинский сельсовет Новосергиевского района Оренбургской области также является одним из важных компонентов системы управления финансовыми средствами муниципального образования Рыбкинский сельсовет Новосергиевского района Оренбургской области, направленное на эффективное регулирование муниципального долга муниципального образования Рыбкинский сельсовет Новосергиевского района и снижение влияния долговой нагрузки на местный бюджет.</w:t>
      </w:r>
    </w:p>
    <w:p w:rsidR="007A17A6" w:rsidRDefault="007A17A6" w:rsidP="007A17A6">
      <w:pPr>
        <w:widowControl w:val="0"/>
        <w:overflowPunct w:val="0"/>
        <w:autoSpaceDE w:val="0"/>
        <w:autoSpaceDN w:val="0"/>
        <w:adjustRightInd w:val="0"/>
        <w:ind w:firstLine="709"/>
        <w:jc w:val="both"/>
        <w:textAlignment w:val="baseline"/>
      </w:pPr>
      <w:r>
        <w:t>Основными целями долговой политики муниципального образования Рыбкинский сельсовет Новосергиевского района являются:</w:t>
      </w:r>
    </w:p>
    <w:p w:rsidR="007A17A6" w:rsidRDefault="007A17A6" w:rsidP="007A17A6">
      <w:pPr>
        <w:widowControl w:val="0"/>
        <w:overflowPunct w:val="0"/>
        <w:autoSpaceDE w:val="0"/>
        <w:autoSpaceDN w:val="0"/>
        <w:adjustRightInd w:val="0"/>
        <w:ind w:firstLine="709"/>
        <w:jc w:val="both"/>
        <w:textAlignment w:val="baseline"/>
      </w:pPr>
      <w:r>
        <w:t>обеспечение исполнения расходных обязательств муниципального образования Рыбкинский сельсовет Новосергиевского района;</w:t>
      </w:r>
    </w:p>
    <w:p w:rsidR="007A17A6" w:rsidRDefault="007A17A6" w:rsidP="007A17A6">
      <w:pPr>
        <w:widowControl w:val="0"/>
        <w:overflowPunct w:val="0"/>
        <w:autoSpaceDE w:val="0"/>
        <w:autoSpaceDN w:val="0"/>
        <w:adjustRightInd w:val="0"/>
        <w:ind w:firstLine="709"/>
        <w:jc w:val="both"/>
        <w:textAlignment w:val="baseline"/>
      </w:pPr>
      <w:r>
        <w:t>недопущение рисков возникновения кризисных ситуаций при исполнении бюджета поселения;</w:t>
      </w:r>
    </w:p>
    <w:p w:rsidR="007A17A6" w:rsidRDefault="007A17A6" w:rsidP="007A17A6">
      <w:pPr>
        <w:widowControl w:val="0"/>
        <w:overflowPunct w:val="0"/>
        <w:autoSpaceDE w:val="0"/>
        <w:autoSpaceDN w:val="0"/>
        <w:adjustRightInd w:val="0"/>
        <w:ind w:firstLine="709"/>
        <w:jc w:val="both"/>
        <w:textAlignment w:val="baseline"/>
      </w:pPr>
      <w:r>
        <w:t xml:space="preserve">сохранение финансовой устойчивости и сбалансированности бюджета поселения. </w:t>
      </w:r>
    </w:p>
    <w:p w:rsidR="007A17A6" w:rsidRDefault="007A17A6" w:rsidP="007A17A6">
      <w:pPr>
        <w:widowControl w:val="0"/>
        <w:overflowPunct w:val="0"/>
        <w:autoSpaceDE w:val="0"/>
        <w:autoSpaceDN w:val="0"/>
        <w:adjustRightInd w:val="0"/>
        <w:ind w:firstLine="709"/>
        <w:jc w:val="both"/>
        <w:textAlignment w:val="baseline"/>
      </w:pPr>
      <w:r>
        <w:t>Долговая политика муниципального образования Рыбкинский сельсовет Новосергиевского района Оренбургской области в 2019–2021 годах будет основываться на следующих принципах:</w:t>
      </w:r>
    </w:p>
    <w:p w:rsidR="007A17A6" w:rsidRDefault="007A17A6" w:rsidP="007A17A6">
      <w:pPr>
        <w:widowControl w:val="0"/>
        <w:overflowPunct w:val="0"/>
        <w:autoSpaceDE w:val="0"/>
        <w:autoSpaceDN w:val="0"/>
        <w:adjustRightInd w:val="0"/>
        <w:ind w:firstLine="709"/>
        <w:jc w:val="both"/>
        <w:textAlignment w:val="baseline"/>
      </w:pPr>
      <w:r>
        <w:t xml:space="preserve">сохранение объема муниципального долга муниципального образования Рыбкинский сельсовет Новосергиевского района Оренбургской области (далее – муниципальный долг) на экономически безопасном уровне посредством </w:t>
      </w:r>
      <w:proofErr w:type="gramStart"/>
      <w:r>
        <w:t>контроля за</w:t>
      </w:r>
      <w:proofErr w:type="gramEnd"/>
      <w:r>
        <w:t xml:space="preserve"> объемом муниципального долга и расходами на его обслуживание;</w:t>
      </w:r>
    </w:p>
    <w:p w:rsidR="007A17A6" w:rsidRDefault="007A17A6" w:rsidP="007A17A6">
      <w:pPr>
        <w:widowControl w:val="0"/>
        <w:overflowPunct w:val="0"/>
        <w:autoSpaceDE w:val="0"/>
        <w:autoSpaceDN w:val="0"/>
        <w:adjustRightInd w:val="0"/>
        <w:ind w:firstLine="709"/>
        <w:jc w:val="both"/>
        <w:textAlignment w:val="baseline"/>
      </w:pPr>
      <w:r>
        <w:t>недопущение необоснованных заимствований посредством обеспечения взаимосвязи принятия решения о заимствованиях с потребностями бюджета муниципального образования Рыбкинский сельсовет Новосергиевского района Оренбургской области в привлечении заемных средств;</w:t>
      </w:r>
    </w:p>
    <w:p w:rsidR="007A17A6" w:rsidRDefault="007A17A6" w:rsidP="007A17A6">
      <w:pPr>
        <w:widowControl w:val="0"/>
        <w:overflowPunct w:val="0"/>
        <w:autoSpaceDE w:val="0"/>
        <w:autoSpaceDN w:val="0"/>
        <w:adjustRightInd w:val="0"/>
        <w:ind w:firstLine="709"/>
        <w:jc w:val="both"/>
        <w:textAlignment w:val="baseline"/>
      </w:pPr>
      <w:r>
        <w:t>сохранение необходимых условий снижения стоимости и оптимальных сроков заимствований.</w:t>
      </w:r>
    </w:p>
    <w:p w:rsidR="007A17A6" w:rsidRDefault="007A17A6" w:rsidP="007A17A6">
      <w:pPr>
        <w:widowControl w:val="0"/>
        <w:overflowPunct w:val="0"/>
        <w:autoSpaceDE w:val="0"/>
        <w:autoSpaceDN w:val="0"/>
        <w:adjustRightInd w:val="0"/>
        <w:ind w:firstLine="709"/>
        <w:jc w:val="both"/>
        <w:textAlignment w:val="baseline"/>
      </w:pPr>
      <w:r>
        <w:t>В процессе управления муниципальным долгом муниципального образования Рыбкинский сельсовет Новосергиевского района необходимо решать следующие задачи:</w:t>
      </w:r>
    </w:p>
    <w:p w:rsidR="007A17A6" w:rsidRDefault="007A17A6" w:rsidP="007A17A6">
      <w:pPr>
        <w:widowControl w:val="0"/>
        <w:overflowPunct w:val="0"/>
        <w:autoSpaceDE w:val="0"/>
        <w:autoSpaceDN w:val="0"/>
        <w:adjustRightInd w:val="0"/>
        <w:ind w:firstLine="709"/>
        <w:jc w:val="both"/>
        <w:textAlignment w:val="baseline"/>
      </w:pPr>
      <w:r>
        <w:t>реализация мероприятий, направленных на рост доходов, оптимизацию расходов бюджета поселения;</w:t>
      </w:r>
    </w:p>
    <w:p w:rsidR="007A17A6" w:rsidRDefault="007A17A6" w:rsidP="007A17A6">
      <w:pPr>
        <w:widowControl w:val="0"/>
        <w:overflowPunct w:val="0"/>
        <w:autoSpaceDE w:val="0"/>
        <w:autoSpaceDN w:val="0"/>
        <w:adjustRightInd w:val="0"/>
        <w:ind w:firstLine="709"/>
        <w:jc w:val="both"/>
        <w:textAlignment w:val="baseline"/>
      </w:pPr>
      <w:r>
        <w:t>сокращение рисков, связанных с осуществлением заимствований;</w:t>
      </w:r>
    </w:p>
    <w:p w:rsidR="007A17A6" w:rsidRDefault="007A17A6" w:rsidP="007A17A6">
      <w:pPr>
        <w:widowControl w:val="0"/>
        <w:overflowPunct w:val="0"/>
        <w:autoSpaceDE w:val="0"/>
        <w:autoSpaceDN w:val="0"/>
        <w:adjustRightInd w:val="0"/>
        <w:ind w:firstLine="709"/>
        <w:jc w:val="both"/>
        <w:textAlignment w:val="baseline"/>
      </w:pPr>
      <w:r>
        <w:t>совершенствование учета и отчетности по обслуживанию долга и обеспечение раскрытия информации о долге.</w:t>
      </w:r>
    </w:p>
    <w:p w:rsidR="007A17A6" w:rsidRDefault="007A17A6" w:rsidP="007A17A6">
      <w:pPr>
        <w:widowControl w:val="0"/>
        <w:overflowPunct w:val="0"/>
        <w:autoSpaceDE w:val="0"/>
        <w:autoSpaceDN w:val="0"/>
        <w:adjustRightInd w:val="0"/>
        <w:ind w:firstLine="709"/>
        <w:jc w:val="both"/>
        <w:textAlignment w:val="baseline"/>
      </w:pPr>
      <w:r>
        <w:t>Решение перечисленных выше задач требует разработки комплекса мер по управлению муниципальным долгом, включающего следующие основные составляющие:</w:t>
      </w:r>
    </w:p>
    <w:p w:rsidR="007A17A6" w:rsidRDefault="007A17A6" w:rsidP="007A17A6">
      <w:pPr>
        <w:widowControl w:val="0"/>
        <w:overflowPunct w:val="0"/>
        <w:autoSpaceDE w:val="0"/>
        <w:autoSpaceDN w:val="0"/>
        <w:adjustRightInd w:val="0"/>
        <w:ind w:firstLine="709"/>
        <w:jc w:val="both"/>
        <w:textAlignment w:val="baseline"/>
      </w:pPr>
      <w:r>
        <w:t xml:space="preserve">- планирование заимствований и ассигнований на платежи </w:t>
      </w:r>
      <w:proofErr w:type="gramStart"/>
      <w:r>
        <w:t>по долгу в</w:t>
      </w:r>
      <w:proofErr w:type="gramEnd"/>
      <w:r>
        <w:t xml:space="preserve"> соответствии с бюджетной политикой муниципального образования Рыбкинский сельсовет Новосергиевского района Оренбургской области;</w:t>
      </w:r>
    </w:p>
    <w:p w:rsidR="007A17A6" w:rsidRDefault="007A17A6" w:rsidP="007A17A6">
      <w:pPr>
        <w:widowControl w:val="0"/>
        <w:overflowPunct w:val="0"/>
        <w:autoSpaceDE w:val="0"/>
        <w:autoSpaceDN w:val="0"/>
        <w:adjustRightInd w:val="0"/>
        <w:ind w:firstLine="709"/>
        <w:jc w:val="both"/>
        <w:textAlignment w:val="baseline"/>
      </w:pPr>
      <w:r>
        <w:t xml:space="preserve">- контроль и оценка рисков, возникающих в сфере долговых </w:t>
      </w:r>
      <w:r>
        <w:lastRenderedPageBreak/>
        <w:t>обязательств;</w:t>
      </w:r>
    </w:p>
    <w:p w:rsidR="007A17A6" w:rsidRDefault="007A17A6" w:rsidP="007A17A6">
      <w:pPr>
        <w:widowControl w:val="0"/>
        <w:overflowPunct w:val="0"/>
        <w:autoSpaceDE w:val="0"/>
        <w:autoSpaceDN w:val="0"/>
        <w:adjustRightInd w:val="0"/>
        <w:ind w:firstLine="709"/>
        <w:jc w:val="both"/>
        <w:textAlignment w:val="baseline"/>
      </w:pPr>
      <w:r>
        <w:t>- активные операции с долговыми обязательствами в целях снижения расходов по долгу, совершенствования структуры долга;</w:t>
      </w:r>
    </w:p>
    <w:p w:rsidR="007A17A6" w:rsidRDefault="007A17A6" w:rsidP="007A17A6">
      <w:pPr>
        <w:widowControl w:val="0"/>
        <w:overflowPunct w:val="0"/>
        <w:autoSpaceDE w:val="0"/>
        <w:autoSpaceDN w:val="0"/>
        <w:adjustRightInd w:val="0"/>
        <w:ind w:firstLine="709"/>
        <w:jc w:val="both"/>
        <w:textAlignment w:val="baseline"/>
      </w:pPr>
      <w:r>
        <w:t>- текущий учет муниципального долга.</w:t>
      </w:r>
    </w:p>
    <w:p w:rsidR="007A17A6" w:rsidRDefault="007A17A6" w:rsidP="007A17A6">
      <w:pPr>
        <w:widowControl w:val="0"/>
        <w:overflowPunct w:val="0"/>
        <w:autoSpaceDE w:val="0"/>
        <w:autoSpaceDN w:val="0"/>
        <w:adjustRightInd w:val="0"/>
        <w:ind w:firstLine="709"/>
        <w:jc w:val="both"/>
        <w:textAlignment w:val="baseline"/>
      </w:pPr>
      <w:r>
        <w:t>Эффективное управление муниципальным долгом означает не только отсутствие просроченных долговых обязательств, но и прежде всего создание прозрачной системы управления долгом с использованием четких процедур и механизмов публичного раскрытия информации о долговой политике муниципального образования Рыбкинский сельсовет Новосергиевского района Оренбургской области.</w:t>
      </w:r>
    </w:p>
    <w:p w:rsidR="007A17A6" w:rsidRDefault="007A17A6" w:rsidP="007A17A6">
      <w:pPr>
        <w:widowControl w:val="0"/>
        <w:overflowPunct w:val="0"/>
        <w:autoSpaceDE w:val="0"/>
        <w:autoSpaceDN w:val="0"/>
        <w:adjustRightInd w:val="0"/>
        <w:ind w:firstLine="709"/>
        <w:jc w:val="both"/>
        <w:textAlignment w:val="baseline"/>
      </w:pPr>
      <w:r>
        <w:t>Главной целью системы оперативного управления муниципальным долгом муниципального образования Рыбкинский сельсовет Новосергиевского района Оренбургской области следует признать сглаживание пиков долговых платежей и экономию бюджетных ассигнований, предусмотренных для обслуживания и погашения долговых обязательств.</w:t>
      </w:r>
    </w:p>
    <w:p w:rsidR="007A17A6" w:rsidRDefault="007A17A6" w:rsidP="007A17A6">
      <w:pPr>
        <w:widowControl w:val="0"/>
        <w:overflowPunct w:val="0"/>
        <w:autoSpaceDE w:val="0"/>
        <w:autoSpaceDN w:val="0"/>
        <w:adjustRightInd w:val="0"/>
        <w:ind w:firstLine="709"/>
        <w:jc w:val="both"/>
        <w:textAlignment w:val="baseline"/>
      </w:pPr>
      <w:r>
        <w:t>К методам оперативного управления муниципальным долгом муниципального образования Рыбкинский сельсовет Новосергиевского района Оренбургской области в рамках исполнения бюджета текущего года относятся:</w:t>
      </w:r>
    </w:p>
    <w:p w:rsidR="007A17A6" w:rsidRDefault="007A17A6" w:rsidP="007A17A6">
      <w:pPr>
        <w:widowControl w:val="0"/>
        <w:overflowPunct w:val="0"/>
        <w:autoSpaceDE w:val="0"/>
        <w:autoSpaceDN w:val="0"/>
        <w:adjustRightInd w:val="0"/>
        <w:ind w:firstLine="709"/>
        <w:jc w:val="both"/>
        <w:textAlignment w:val="baseline"/>
      </w:pPr>
      <w:r>
        <w:t>накопление средств на едином счете по учету средств бюджета поселения, необходимых для погашения долговых обязательств по мере возможности;</w:t>
      </w:r>
    </w:p>
    <w:p w:rsidR="007A17A6" w:rsidRDefault="007A17A6" w:rsidP="007A17A6">
      <w:pPr>
        <w:widowControl w:val="0"/>
        <w:overflowPunct w:val="0"/>
        <w:autoSpaceDE w:val="0"/>
        <w:autoSpaceDN w:val="0"/>
        <w:adjustRightInd w:val="0"/>
        <w:ind w:firstLine="709"/>
        <w:jc w:val="both"/>
        <w:textAlignment w:val="baseline"/>
      </w:pPr>
      <w:r>
        <w:t>досрочное погашение долговых обязательств;</w:t>
      </w:r>
    </w:p>
    <w:p w:rsidR="007A17A6" w:rsidRDefault="007A17A6" w:rsidP="007A17A6">
      <w:pPr>
        <w:widowControl w:val="0"/>
        <w:overflowPunct w:val="0"/>
        <w:autoSpaceDE w:val="0"/>
        <w:autoSpaceDN w:val="0"/>
        <w:adjustRightInd w:val="0"/>
        <w:ind w:firstLine="709"/>
        <w:jc w:val="both"/>
        <w:textAlignment w:val="baseline"/>
      </w:pPr>
      <w:r>
        <w:t>сокращение объема заимствований;</w:t>
      </w:r>
    </w:p>
    <w:p w:rsidR="007A17A6" w:rsidRDefault="007A17A6" w:rsidP="007A17A6">
      <w:pPr>
        <w:widowControl w:val="0"/>
        <w:overflowPunct w:val="0"/>
        <w:autoSpaceDE w:val="0"/>
        <w:autoSpaceDN w:val="0"/>
        <w:adjustRightInd w:val="0"/>
        <w:ind w:firstLine="709"/>
        <w:jc w:val="both"/>
        <w:textAlignment w:val="baseline"/>
      </w:pPr>
      <w:r>
        <w:t>использование различных инструментов заимствований.</w:t>
      </w:r>
    </w:p>
    <w:p w:rsidR="007A17A6" w:rsidRDefault="007A17A6" w:rsidP="007A17A6">
      <w:pPr>
        <w:widowControl w:val="0"/>
        <w:overflowPunct w:val="0"/>
        <w:autoSpaceDE w:val="0"/>
        <w:autoSpaceDN w:val="0"/>
        <w:adjustRightInd w:val="0"/>
        <w:ind w:firstLine="709"/>
        <w:jc w:val="both"/>
        <w:textAlignment w:val="baseline"/>
      </w:pPr>
      <w:r>
        <w:t>Накопление средств на едином счете по учету средств бюджета поселения средств, необходимых для погашения долговых обязательств, должно быть направлено в первую очередь на сглаживание пиковых нагрузок на местный бюджет и исключение в связи с этим резкого снижения уровня финансовой обеспеченности расходов бюджета.</w:t>
      </w:r>
    </w:p>
    <w:p w:rsidR="007A17A6" w:rsidRDefault="007A17A6" w:rsidP="007A17A6">
      <w:pPr>
        <w:widowControl w:val="0"/>
        <w:overflowPunct w:val="0"/>
        <w:autoSpaceDE w:val="0"/>
        <w:autoSpaceDN w:val="0"/>
        <w:adjustRightInd w:val="0"/>
        <w:ind w:firstLine="709"/>
        <w:jc w:val="both"/>
        <w:textAlignment w:val="baseline"/>
      </w:pPr>
      <w:r>
        <w:t>Накопление средств, необходимых для погашения в установленные сроки долговых обязательств муниципального образования Рыбкинский сельсовет Новосергиевского района Оренбургской области, может осуществляться в году, предшествующем пиковой нагрузке, а также в рамках формирования проекта бюджета года, на который она приходится. В году, предшествующем пиковой нагрузке, накопление средств может осуществляться за счет доходов, дополнительно полученных в ходе исполнения бюджета поселения, а также за счет экономии в расходах.</w:t>
      </w:r>
    </w:p>
    <w:p w:rsidR="007A17A6" w:rsidRDefault="007A17A6" w:rsidP="007A17A6">
      <w:pPr>
        <w:widowControl w:val="0"/>
        <w:overflowPunct w:val="0"/>
        <w:autoSpaceDE w:val="0"/>
        <w:autoSpaceDN w:val="0"/>
        <w:adjustRightInd w:val="0"/>
        <w:ind w:firstLine="709"/>
        <w:jc w:val="both"/>
        <w:textAlignment w:val="baseline"/>
      </w:pPr>
      <w:r>
        <w:t>Средства, накопленные в текущем финансовом году для погашения долговых обязательств муниципального образования Рыбкинский сельсовет Новосергиевского района Оренбургской области следующего года, могут являться составной частью свободного остатка средств на начало следующего финансового года и использоваться на погашение этих обязательств в порядке, установленном бюджетным законодательством.</w:t>
      </w:r>
    </w:p>
    <w:p w:rsidR="007A17A6" w:rsidRDefault="007A17A6" w:rsidP="007A17A6">
      <w:pPr>
        <w:widowControl w:val="0"/>
        <w:overflowPunct w:val="0"/>
        <w:autoSpaceDE w:val="0"/>
        <w:autoSpaceDN w:val="0"/>
        <w:adjustRightInd w:val="0"/>
        <w:ind w:firstLine="709"/>
        <w:jc w:val="both"/>
        <w:textAlignment w:val="baseline"/>
      </w:pPr>
      <w:r>
        <w:lastRenderedPageBreak/>
        <w:t xml:space="preserve">Досрочное погашение долговых обязательств муниципального образования Рыбкинский сельсовет Новосергиевского района Оренбургской области может осуществляться за счет дополнительно полученных доходов, экономии по расходам и (или) привлечения новых, более дешевых, заимствований. К досрочному погашению могут быть приняты </w:t>
      </w:r>
      <w:proofErr w:type="gramStart"/>
      <w:r>
        <w:t>обязательства</w:t>
      </w:r>
      <w:proofErr w:type="gramEnd"/>
      <w:r>
        <w:t xml:space="preserve"> как текущего финансового года, так и планового периода.</w:t>
      </w:r>
    </w:p>
    <w:p w:rsidR="007A17A6" w:rsidRDefault="007A17A6" w:rsidP="007A17A6">
      <w:pPr>
        <w:widowControl w:val="0"/>
        <w:overflowPunct w:val="0"/>
        <w:autoSpaceDE w:val="0"/>
        <w:autoSpaceDN w:val="0"/>
        <w:adjustRightInd w:val="0"/>
        <w:ind w:firstLine="709"/>
        <w:jc w:val="both"/>
        <w:textAlignment w:val="baseline"/>
      </w:pPr>
      <w:r>
        <w:t>Сокращение объема муниципальных заимствований должно осуществляться при стабилизации финансового положения за счет получения дополнительных доходов и оптимизации утвержденных расходов. Сокращение объема муниципальных заимствований в текущем финансовом году должно рассматриваться как одна из мер снятия пиковых нагрузок по погашению долговых обязательств будущих периодов.</w:t>
      </w:r>
    </w:p>
    <w:p w:rsidR="007A17A6" w:rsidRDefault="007A17A6" w:rsidP="007A17A6">
      <w:pPr>
        <w:widowControl w:val="0"/>
        <w:overflowPunct w:val="0"/>
        <w:autoSpaceDE w:val="0"/>
        <w:autoSpaceDN w:val="0"/>
        <w:adjustRightInd w:val="0"/>
        <w:ind w:firstLine="709"/>
        <w:jc w:val="both"/>
        <w:textAlignment w:val="baseline"/>
      </w:pPr>
      <w:r>
        <w:t>Использование тех или иных инструментов заимствований осуществляется в зависимости от ситуации на финансовом рынке и рассматриваемых условий заимствований.</w:t>
      </w:r>
    </w:p>
    <w:p w:rsidR="007A17A6" w:rsidRDefault="007A17A6" w:rsidP="007A17A6">
      <w:pPr>
        <w:widowControl w:val="0"/>
        <w:overflowPunct w:val="0"/>
        <w:autoSpaceDE w:val="0"/>
        <w:autoSpaceDN w:val="0"/>
        <w:adjustRightInd w:val="0"/>
        <w:ind w:firstLine="709"/>
        <w:jc w:val="center"/>
        <w:textAlignment w:val="baseline"/>
        <w:rPr>
          <w:color w:val="FF0000"/>
        </w:rPr>
      </w:pPr>
    </w:p>
    <w:p w:rsidR="007A17A6" w:rsidRDefault="007A17A6" w:rsidP="007A17A6">
      <w:pPr>
        <w:widowControl w:val="0"/>
        <w:overflowPunct w:val="0"/>
        <w:autoSpaceDE w:val="0"/>
        <w:autoSpaceDN w:val="0"/>
        <w:adjustRightInd w:val="0"/>
        <w:jc w:val="center"/>
        <w:textAlignment w:val="baseline"/>
        <w:rPr>
          <w:b/>
        </w:rPr>
      </w:pPr>
      <w:r>
        <w:rPr>
          <w:b/>
        </w:rPr>
        <w:t>Риски при исполнении бюджета</w:t>
      </w:r>
    </w:p>
    <w:p w:rsidR="007A17A6" w:rsidRDefault="007A17A6" w:rsidP="007A17A6">
      <w:pPr>
        <w:widowControl w:val="0"/>
        <w:overflowPunct w:val="0"/>
        <w:autoSpaceDE w:val="0"/>
        <w:autoSpaceDN w:val="0"/>
        <w:adjustRightInd w:val="0"/>
        <w:jc w:val="center"/>
        <w:textAlignment w:val="baseline"/>
        <w:rPr>
          <w:b/>
        </w:rPr>
      </w:pPr>
      <w:r>
        <w:rPr>
          <w:b/>
        </w:rPr>
        <w:t>в части муниципальных внутренних заимствований,</w:t>
      </w:r>
    </w:p>
    <w:p w:rsidR="007A17A6" w:rsidRDefault="007A17A6" w:rsidP="007A17A6">
      <w:pPr>
        <w:widowControl w:val="0"/>
        <w:overflowPunct w:val="0"/>
        <w:autoSpaceDE w:val="0"/>
        <w:autoSpaceDN w:val="0"/>
        <w:adjustRightInd w:val="0"/>
        <w:jc w:val="center"/>
        <w:textAlignment w:val="baseline"/>
        <w:rPr>
          <w:b/>
        </w:rPr>
      </w:pPr>
      <w:r>
        <w:rPr>
          <w:b/>
        </w:rPr>
        <w:t>идентификация рисков</w:t>
      </w:r>
    </w:p>
    <w:p w:rsidR="007A17A6" w:rsidRDefault="007A17A6" w:rsidP="007A17A6">
      <w:pPr>
        <w:widowControl w:val="0"/>
        <w:overflowPunct w:val="0"/>
        <w:autoSpaceDE w:val="0"/>
        <w:autoSpaceDN w:val="0"/>
        <w:adjustRightInd w:val="0"/>
        <w:ind w:firstLine="709"/>
        <w:jc w:val="both"/>
        <w:textAlignment w:val="baseline"/>
      </w:pPr>
    </w:p>
    <w:p w:rsidR="007A17A6" w:rsidRDefault="007A17A6" w:rsidP="007A17A6">
      <w:pPr>
        <w:widowControl w:val="0"/>
        <w:overflowPunct w:val="0"/>
        <w:autoSpaceDE w:val="0"/>
        <w:autoSpaceDN w:val="0"/>
        <w:adjustRightInd w:val="0"/>
        <w:ind w:firstLine="709"/>
        <w:jc w:val="both"/>
        <w:textAlignment w:val="baseline"/>
      </w:pPr>
      <w:r>
        <w:t>Проблема управления рисками при управлении муниципальным долгом является центральной.</w:t>
      </w:r>
    </w:p>
    <w:p w:rsidR="007A17A6" w:rsidRDefault="007A17A6" w:rsidP="007A17A6">
      <w:pPr>
        <w:widowControl w:val="0"/>
        <w:overflowPunct w:val="0"/>
        <w:autoSpaceDE w:val="0"/>
        <w:autoSpaceDN w:val="0"/>
        <w:adjustRightInd w:val="0"/>
        <w:ind w:firstLine="709"/>
        <w:jc w:val="both"/>
        <w:textAlignment w:val="baseline"/>
      </w:pPr>
      <w:r>
        <w:t>Основными рисками при исполнении бюджета поселения в части муниципальных внутренних заимствований являются:</w:t>
      </w:r>
    </w:p>
    <w:p w:rsidR="007A17A6" w:rsidRDefault="007A17A6" w:rsidP="007A17A6">
      <w:pPr>
        <w:widowControl w:val="0"/>
        <w:overflowPunct w:val="0"/>
        <w:autoSpaceDE w:val="0"/>
        <w:autoSpaceDN w:val="0"/>
        <w:adjustRightInd w:val="0"/>
        <w:ind w:firstLine="709"/>
        <w:jc w:val="both"/>
        <w:textAlignment w:val="baseline"/>
      </w:pPr>
      <w:r>
        <w:t>риск процентной ставки, то есть вероятность неблагоприятного для муниципального образования Рыбкинский сельсовет Новосергиевского  района изменения стоимости заимствований вследствие изменения процентных ставок. Динамика процентных ставок непосредственно влияет на стоимость обслуживания как новых, принимаемых при рефинансировании долга обязательств, так и имеющихся и новых долговых обязательств, обслуживаемых по переменной ставке. Как следствие, краткосрочные долговые обязательства или обязательства с переменной ставкой должны рассматриваться как более рискованные, чем долгосрочные обязательства с фиксированной ставкой.</w:t>
      </w:r>
    </w:p>
    <w:p w:rsidR="007A17A6" w:rsidRDefault="007A17A6" w:rsidP="007A17A6">
      <w:pPr>
        <w:widowControl w:val="0"/>
        <w:overflowPunct w:val="0"/>
        <w:autoSpaceDE w:val="0"/>
        <w:autoSpaceDN w:val="0"/>
        <w:adjustRightInd w:val="0"/>
        <w:ind w:firstLine="709"/>
        <w:jc w:val="both"/>
        <w:textAlignment w:val="baseline"/>
      </w:pPr>
      <w:r>
        <w:t>Значительная доля обязательств с переменной ставкой в общем объеме долга формирует высокий процентный риск для заемщика. С одной стороны, осуществление заимствований в форме обязательств с переменной ставкой позволяет снизить риск рефинансирования, однако с другой, значительно увеличивает процентный риск заемщика. Таким образом, при осуществлении заимствований в форме обязательств с переменной ставкой следует исходить из необходимости сохранять такую структуру совокупного портфеля обязательств, которая позволяла бы поддерживать процентный риск на приемлемом уровне.</w:t>
      </w:r>
    </w:p>
    <w:p w:rsidR="007A17A6" w:rsidRDefault="007A17A6" w:rsidP="007A17A6">
      <w:pPr>
        <w:widowControl w:val="0"/>
        <w:overflowPunct w:val="0"/>
        <w:autoSpaceDE w:val="0"/>
        <w:autoSpaceDN w:val="0"/>
        <w:adjustRightInd w:val="0"/>
        <w:ind w:firstLine="709"/>
        <w:jc w:val="both"/>
        <w:textAlignment w:val="baseline"/>
      </w:pPr>
      <w:r>
        <w:t xml:space="preserve">Показателями, позволяющими оценивать процентный риск заемщика, являются </w:t>
      </w:r>
      <w:proofErr w:type="spellStart"/>
      <w:r>
        <w:t>дюрация</w:t>
      </w:r>
      <w:proofErr w:type="spellEnd"/>
      <w:r>
        <w:t xml:space="preserve"> портфеля обязательств, доля обязательств с переменной </w:t>
      </w:r>
      <w:r>
        <w:lastRenderedPageBreak/>
        <w:t>ставкой в общем объеме долга.</w:t>
      </w:r>
    </w:p>
    <w:p w:rsidR="007A17A6" w:rsidRDefault="007A17A6" w:rsidP="007A17A6">
      <w:pPr>
        <w:widowControl w:val="0"/>
        <w:overflowPunct w:val="0"/>
        <w:autoSpaceDE w:val="0"/>
        <w:autoSpaceDN w:val="0"/>
        <w:adjustRightInd w:val="0"/>
        <w:ind w:firstLine="709"/>
        <w:jc w:val="both"/>
        <w:textAlignment w:val="baseline"/>
      </w:pPr>
      <w:r>
        <w:t>Риск рефинансирования, то есть вероятность того, что заемщик не сможет провести рефинансирование накопленных долговых обязательств по приемлемым процентным ставкам (текущим либо более низким) или невозможность рефинансировать текущие обязательства вовсе.</w:t>
      </w:r>
    </w:p>
    <w:p w:rsidR="007A17A6" w:rsidRDefault="007A17A6" w:rsidP="007A17A6">
      <w:pPr>
        <w:widowControl w:val="0"/>
        <w:overflowPunct w:val="0"/>
        <w:autoSpaceDE w:val="0"/>
        <w:autoSpaceDN w:val="0"/>
        <w:adjustRightInd w:val="0"/>
        <w:ind w:firstLine="709"/>
        <w:jc w:val="both"/>
        <w:textAlignment w:val="baseline"/>
      </w:pPr>
      <w:r>
        <w:t xml:space="preserve">Риск рефинансирования связан с необходимостью погашения ранее принятых долговых обязательств за счет привлечения новых заимствований. Значительная доля краткосрочных обязательств или неравномерный график погашения, содержащий пиковые нагрузки на бюджет, значительно повышает риск рефинансирования. </w:t>
      </w:r>
    </w:p>
    <w:p w:rsidR="007A17A6" w:rsidRDefault="007A17A6" w:rsidP="007A17A6">
      <w:pPr>
        <w:widowControl w:val="0"/>
        <w:overflowPunct w:val="0"/>
        <w:autoSpaceDE w:val="0"/>
        <w:autoSpaceDN w:val="0"/>
        <w:adjustRightInd w:val="0"/>
        <w:ind w:firstLine="709"/>
        <w:jc w:val="both"/>
        <w:textAlignment w:val="baseline"/>
      </w:pPr>
      <w:r>
        <w:t>В целях оценки риска рефинансирования необходимо на постоянной основе осуществлять мониторинг конъюнктуры рынка с учетом графика погашения долговых обязательств.</w:t>
      </w:r>
    </w:p>
    <w:p w:rsidR="007A17A6" w:rsidRDefault="007A17A6" w:rsidP="007A17A6">
      <w:pPr>
        <w:widowControl w:val="0"/>
        <w:overflowPunct w:val="0"/>
        <w:autoSpaceDE w:val="0"/>
        <w:autoSpaceDN w:val="0"/>
        <w:adjustRightInd w:val="0"/>
        <w:ind w:firstLine="709"/>
        <w:jc w:val="both"/>
        <w:textAlignment w:val="baseline"/>
      </w:pPr>
      <w:r>
        <w:t>Целями управления рисками при исполнении бюджета поселения в части муниципальных внутренних заимствований являются:</w:t>
      </w:r>
    </w:p>
    <w:p w:rsidR="007A17A6" w:rsidRDefault="007A17A6" w:rsidP="007A17A6">
      <w:pPr>
        <w:widowControl w:val="0"/>
        <w:overflowPunct w:val="0"/>
        <w:autoSpaceDE w:val="0"/>
        <w:autoSpaceDN w:val="0"/>
        <w:adjustRightInd w:val="0"/>
        <w:ind w:firstLine="709"/>
        <w:jc w:val="both"/>
        <w:textAlignment w:val="baseline"/>
      </w:pPr>
      <w:r>
        <w:t>снижение рисков неисполнения бюджета поселения в части, касающейся финансирования расходов бюджета поселения за счет заемных средств;</w:t>
      </w:r>
    </w:p>
    <w:p w:rsidR="007A17A6" w:rsidRDefault="007A17A6" w:rsidP="007A17A6">
      <w:pPr>
        <w:widowControl w:val="0"/>
        <w:overflowPunct w:val="0"/>
        <w:autoSpaceDE w:val="0"/>
        <w:autoSpaceDN w:val="0"/>
        <w:adjustRightInd w:val="0"/>
        <w:ind w:firstLine="709"/>
        <w:jc w:val="both"/>
        <w:textAlignment w:val="baseline"/>
      </w:pPr>
      <w:r>
        <w:t>сглаживание пиков платежей по финансированию дефицита бюджета поселения и погашению долговых обязательств;</w:t>
      </w:r>
    </w:p>
    <w:p w:rsidR="007A17A6" w:rsidRDefault="007A17A6" w:rsidP="007A17A6">
      <w:pPr>
        <w:widowControl w:val="0"/>
        <w:overflowPunct w:val="0"/>
        <w:autoSpaceDE w:val="0"/>
        <w:autoSpaceDN w:val="0"/>
        <w:adjustRightInd w:val="0"/>
        <w:ind w:firstLine="709"/>
        <w:jc w:val="both"/>
        <w:textAlignment w:val="baseline"/>
      </w:pPr>
      <w:r>
        <w:t>повышение степени предсказуемости действий по привлечению заемных средств;</w:t>
      </w:r>
    </w:p>
    <w:p w:rsidR="007A17A6" w:rsidRDefault="007A17A6" w:rsidP="007A17A6">
      <w:pPr>
        <w:widowControl w:val="0"/>
        <w:overflowPunct w:val="0"/>
        <w:autoSpaceDE w:val="0"/>
        <w:autoSpaceDN w:val="0"/>
        <w:adjustRightInd w:val="0"/>
        <w:ind w:firstLine="709"/>
        <w:jc w:val="both"/>
        <w:textAlignment w:val="baseline"/>
      </w:pPr>
      <w:r>
        <w:t>совершенствование системы управления муниципальным долгом муниципального образования Рыбкинский сельсовет Новосергиевского района Оренбургской области.</w:t>
      </w:r>
    </w:p>
    <w:p w:rsidR="007A17A6" w:rsidRDefault="007A17A6" w:rsidP="007A17A6">
      <w:pPr>
        <w:widowControl w:val="0"/>
        <w:overflowPunct w:val="0"/>
        <w:autoSpaceDE w:val="0"/>
        <w:autoSpaceDN w:val="0"/>
        <w:adjustRightInd w:val="0"/>
        <w:ind w:firstLine="709"/>
        <w:jc w:val="both"/>
        <w:textAlignment w:val="baseline"/>
      </w:pPr>
      <w:r>
        <w:t>Принимая во внимание необходимость обеспечения оптимальной ликвидности бюджета поселения, недопущения срывов в финансировании расходов бюджета, снижения рисков неисполнения бюджета в целом и по муниципальным заимствованиям в частности, осуществляется планирование муниципальных заимствований муниципального образования Рыбкинский сельсовет Новосергиевского района Оренбургской области в текущем финансовом году и плановом периоде.</w:t>
      </w:r>
    </w:p>
    <w:p w:rsidR="007A17A6" w:rsidRDefault="007A17A6" w:rsidP="007A17A6">
      <w:pPr>
        <w:widowControl w:val="0"/>
        <w:overflowPunct w:val="0"/>
        <w:autoSpaceDE w:val="0"/>
        <w:autoSpaceDN w:val="0"/>
        <w:adjustRightInd w:val="0"/>
        <w:ind w:firstLine="709"/>
        <w:jc w:val="both"/>
        <w:textAlignment w:val="baseline"/>
      </w:pPr>
      <w:r>
        <w:t>Планирование осуществляется на основе прогнозов поступления доходов, финансирования расходов и привлечения муниципальных заимствований, статистического анализа исполнения предыдущих лет с соблюдением следующих требований:</w:t>
      </w:r>
    </w:p>
    <w:p w:rsidR="007A17A6" w:rsidRDefault="007A17A6" w:rsidP="007A17A6">
      <w:pPr>
        <w:widowControl w:val="0"/>
        <w:overflowPunct w:val="0"/>
        <w:autoSpaceDE w:val="0"/>
        <w:autoSpaceDN w:val="0"/>
        <w:adjustRightInd w:val="0"/>
        <w:ind w:firstLine="709"/>
        <w:jc w:val="both"/>
        <w:textAlignment w:val="baseline"/>
      </w:pPr>
      <w:r>
        <w:t>при планировании муниципальных заимствований должны учитываться экономические возможности по мобилизации ресурсов, текущая и ожидаемая конъюнктура на финансовых рынках;</w:t>
      </w:r>
    </w:p>
    <w:p w:rsidR="007A17A6" w:rsidRDefault="007A17A6" w:rsidP="007A17A6">
      <w:pPr>
        <w:widowControl w:val="0"/>
        <w:overflowPunct w:val="0"/>
        <w:autoSpaceDE w:val="0"/>
        <w:autoSpaceDN w:val="0"/>
        <w:adjustRightInd w:val="0"/>
        <w:ind w:firstLine="709"/>
        <w:jc w:val="both"/>
        <w:textAlignment w:val="baseline"/>
      </w:pPr>
      <w:r>
        <w:t>муниципальные заимствования должны носить планомерный характер, при этом объемы заимствований должны распределяться в течение года таким образом, чтобы снизить риск ухудшения условий заимствований;</w:t>
      </w:r>
    </w:p>
    <w:p w:rsidR="007A17A6" w:rsidRDefault="007A17A6" w:rsidP="007A17A6">
      <w:pPr>
        <w:widowControl w:val="0"/>
        <w:overflowPunct w:val="0"/>
        <w:autoSpaceDE w:val="0"/>
        <w:autoSpaceDN w:val="0"/>
        <w:adjustRightInd w:val="0"/>
        <w:ind w:firstLine="709"/>
        <w:jc w:val="both"/>
        <w:textAlignment w:val="baseline"/>
      </w:pPr>
      <w:r>
        <w:t xml:space="preserve">для сглаживания пиков платежей по финансированию дефицита бюджета поселения и погашению муниципального долга при планировании, исполнении бюджета поселения и муниципальных заимствований </w:t>
      </w:r>
      <w:r>
        <w:lastRenderedPageBreak/>
        <w:t>необходимо осуществлять управление ликвидностью и заимствованиями муниципального образования Рыбкинский сельсовет Новосергиевского района Оренбургской области;</w:t>
      </w:r>
    </w:p>
    <w:p w:rsidR="007A17A6" w:rsidRDefault="007A17A6" w:rsidP="007A17A6">
      <w:pPr>
        <w:widowControl w:val="0"/>
        <w:overflowPunct w:val="0"/>
        <w:autoSpaceDE w:val="0"/>
        <w:autoSpaceDN w:val="0"/>
        <w:adjustRightInd w:val="0"/>
        <w:ind w:firstLine="709"/>
        <w:jc w:val="both"/>
        <w:textAlignment w:val="baseline"/>
      </w:pPr>
      <w:r>
        <w:t>период планирования охватывает весь финансовый год, чтобы можно было вести работу с инвесторами и кредиторами;</w:t>
      </w:r>
    </w:p>
    <w:p w:rsidR="007A17A6" w:rsidRDefault="007A17A6" w:rsidP="007A17A6">
      <w:pPr>
        <w:widowControl w:val="0"/>
        <w:overflowPunct w:val="0"/>
        <w:autoSpaceDE w:val="0"/>
        <w:autoSpaceDN w:val="0"/>
        <w:adjustRightInd w:val="0"/>
        <w:ind w:firstLine="709"/>
        <w:jc w:val="both"/>
        <w:textAlignment w:val="baseline"/>
      </w:pPr>
      <w:r>
        <w:t>разработке и использованию подлежат программные средства планирования муниципальных заимствований, позволяющие проводить оперативный анализ планов и рисков, возникающих при привлечении заемных средств.</w:t>
      </w:r>
    </w:p>
    <w:p w:rsidR="007A17A6" w:rsidRDefault="007A17A6" w:rsidP="007A17A6">
      <w:pPr>
        <w:widowControl w:val="0"/>
        <w:overflowPunct w:val="0"/>
        <w:autoSpaceDE w:val="0"/>
        <w:autoSpaceDN w:val="0"/>
        <w:adjustRightInd w:val="0"/>
        <w:ind w:firstLine="709"/>
        <w:jc w:val="both"/>
        <w:textAlignment w:val="baseline"/>
      </w:pPr>
      <w:r>
        <w:t xml:space="preserve">Важнейшая задача управления муниципальным долгом - своевременное выявление и оценка рисков, разработка долговой стратегии, позволяющей обеспечить привлечение необходимых объемов заемных ресурсов при сохранении общего уровня риска долгового портфеля на уровне, признанном приемлемым для заемщика. </w:t>
      </w:r>
    </w:p>
    <w:p w:rsidR="007A17A6" w:rsidRDefault="007A17A6" w:rsidP="007A17A6">
      <w:pPr>
        <w:widowControl w:val="0"/>
        <w:overflowPunct w:val="0"/>
        <w:autoSpaceDE w:val="0"/>
        <w:autoSpaceDN w:val="0"/>
        <w:adjustRightInd w:val="0"/>
        <w:ind w:firstLine="709"/>
        <w:jc w:val="both"/>
        <w:textAlignment w:val="baseline"/>
      </w:pPr>
      <w:r>
        <w:t>Для измерения рисков портфеля долга, корректной оценки стоимости его обслуживания следует использовать систему показателей долговой устойчивости. В самом общем смысле набор показателей, используемых для оценки состояния долговой устойчивости заемщика, может быть признан адекватным, если позволяет оценить как общее долговое бремя на бюджет поселения, так и текущую нагрузку, связанную с распределением во времени выплат по долгу.</w:t>
      </w:r>
    </w:p>
    <w:p w:rsidR="007A17A6" w:rsidRDefault="007A17A6" w:rsidP="007A17A6">
      <w:pPr>
        <w:widowControl w:val="0"/>
        <w:overflowPunct w:val="0"/>
        <w:autoSpaceDE w:val="0"/>
        <w:autoSpaceDN w:val="0"/>
        <w:adjustRightInd w:val="0"/>
        <w:ind w:firstLine="709"/>
        <w:jc w:val="center"/>
        <w:textAlignment w:val="baseline"/>
      </w:pPr>
    </w:p>
    <w:p w:rsidR="007A17A6" w:rsidRDefault="007A17A6" w:rsidP="007A17A6">
      <w:pPr>
        <w:widowControl w:val="0"/>
        <w:overflowPunct w:val="0"/>
        <w:autoSpaceDE w:val="0"/>
        <w:autoSpaceDN w:val="0"/>
        <w:adjustRightInd w:val="0"/>
        <w:ind w:firstLine="709"/>
        <w:jc w:val="center"/>
        <w:textAlignment w:val="baseline"/>
        <w:rPr>
          <w:b/>
        </w:rPr>
      </w:pPr>
      <w:r>
        <w:rPr>
          <w:b/>
        </w:rPr>
        <w:t xml:space="preserve">Перспективы развития долговой политики </w:t>
      </w:r>
    </w:p>
    <w:p w:rsidR="007A17A6" w:rsidRDefault="007A17A6" w:rsidP="007A17A6">
      <w:pPr>
        <w:widowControl w:val="0"/>
        <w:overflowPunct w:val="0"/>
        <w:autoSpaceDE w:val="0"/>
        <w:autoSpaceDN w:val="0"/>
        <w:adjustRightInd w:val="0"/>
        <w:ind w:firstLine="709"/>
        <w:jc w:val="center"/>
        <w:textAlignment w:val="baseline"/>
        <w:rPr>
          <w:b/>
        </w:rPr>
      </w:pPr>
      <w:r>
        <w:rPr>
          <w:b/>
        </w:rPr>
        <w:t>муниципального образования Рыбкинский сельсовет Новосергиевского района Оренбургской области на 2019 год и плановый период 2020 и 2021 годов</w:t>
      </w:r>
    </w:p>
    <w:p w:rsidR="007A17A6" w:rsidRDefault="007A17A6" w:rsidP="007A17A6">
      <w:pPr>
        <w:widowControl w:val="0"/>
        <w:overflowPunct w:val="0"/>
        <w:autoSpaceDE w:val="0"/>
        <w:autoSpaceDN w:val="0"/>
        <w:adjustRightInd w:val="0"/>
        <w:ind w:firstLine="709"/>
        <w:jc w:val="both"/>
        <w:textAlignment w:val="baseline"/>
        <w:rPr>
          <w:color w:val="FF0000"/>
        </w:rPr>
      </w:pPr>
    </w:p>
    <w:p w:rsidR="007A17A6" w:rsidRDefault="007A17A6" w:rsidP="007A17A6">
      <w:pPr>
        <w:widowControl w:val="0"/>
        <w:overflowPunct w:val="0"/>
        <w:autoSpaceDE w:val="0"/>
        <w:autoSpaceDN w:val="0"/>
        <w:adjustRightInd w:val="0"/>
        <w:ind w:firstLine="709"/>
        <w:jc w:val="both"/>
        <w:textAlignment w:val="baseline"/>
      </w:pPr>
      <w:proofErr w:type="gramStart"/>
      <w:r>
        <w:t>Взвешенная долговая политика, проводимая муниципальным образованием Рыбкинский сельсовет Новосергиевского района Оренбургской области в условиях ограниченности финансовых ресурсов, позволяет обеспечить сбалансированность и устойчивость бюджета поселения, сохранить объем и структуру муниципального долга муниципального образования Рыбкинский сельсовет Новосергиевского района Оренбургской области на экономически безопасном уровне при неукоснительном соблюдении требований к объему муниципального долга и расходам на его обслуживание, установленных бюджетным законодательством.</w:t>
      </w:r>
      <w:proofErr w:type="gramEnd"/>
    </w:p>
    <w:p w:rsidR="007A17A6" w:rsidRDefault="007A17A6" w:rsidP="007A17A6">
      <w:pPr>
        <w:ind w:firstLine="709"/>
        <w:jc w:val="both"/>
      </w:pPr>
      <w:r>
        <w:t>В соответствии с общепризнанными критериями оценки кредитного риска кредитная история заемщика является одним из важных индикаторов способности и намерения заемщика погашать свои долговые обязательства.</w:t>
      </w:r>
    </w:p>
    <w:p w:rsidR="007A17A6" w:rsidRDefault="007A17A6" w:rsidP="007A17A6">
      <w:pPr>
        <w:widowControl w:val="0"/>
        <w:overflowPunct w:val="0"/>
        <w:autoSpaceDE w:val="0"/>
        <w:autoSpaceDN w:val="0"/>
        <w:adjustRightInd w:val="0"/>
        <w:ind w:firstLine="709"/>
        <w:jc w:val="both"/>
        <w:textAlignment w:val="baseline"/>
      </w:pPr>
      <w:r>
        <w:t>При планировании расходов на обслуживание муниципального долга поселением соблюдаются нормы бюджетного законодательства.</w:t>
      </w:r>
    </w:p>
    <w:p w:rsidR="007A17A6" w:rsidRDefault="007A17A6" w:rsidP="007A17A6">
      <w:pPr>
        <w:ind w:firstLine="709"/>
        <w:jc w:val="both"/>
      </w:pPr>
      <w:r>
        <w:t xml:space="preserve">Сохранение размера муниципального долга на экономически безопасном уровне, а также оптимизация его структуры рассматриваются в качестве основной важнейшей цели муниципальной долговой политики </w:t>
      </w:r>
      <w:r>
        <w:lastRenderedPageBreak/>
        <w:t xml:space="preserve">муниципального образования Рыбкинский сельсовет Новосергиевского района Оренбургской области. </w:t>
      </w:r>
    </w:p>
    <w:p w:rsidR="007A17A6" w:rsidRDefault="007A17A6" w:rsidP="007A17A6">
      <w:pPr>
        <w:ind w:firstLine="709"/>
        <w:jc w:val="both"/>
      </w:pPr>
      <w:r>
        <w:t>Основными мероприятиями, которые необходимо реализовать в предстоящем периоде являются:</w:t>
      </w:r>
    </w:p>
    <w:p w:rsidR="007A17A6" w:rsidRDefault="007A17A6" w:rsidP="007A17A6">
      <w:pPr>
        <w:ind w:firstLine="709"/>
        <w:jc w:val="both"/>
      </w:pPr>
      <w:r>
        <w:t>обеспечение дефицита бюджета поселения  в 2019, 2020 и 2021 годах на уровне не более 10 %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за 2019, 2020 и 2021 годы соответственно;</w:t>
      </w:r>
    </w:p>
    <w:p w:rsidR="007A17A6" w:rsidRDefault="007A17A6" w:rsidP="007A17A6">
      <w:pPr>
        <w:autoSpaceDE w:val="0"/>
        <w:autoSpaceDN w:val="0"/>
        <w:adjustRightInd w:val="0"/>
        <w:ind w:firstLine="709"/>
        <w:jc w:val="both"/>
      </w:pPr>
      <w:r>
        <w:t>сохранение предельного объема муниципального долга в течение 2019-2021 годов на уровне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за соответствующий год;</w:t>
      </w:r>
    </w:p>
    <w:p w:rsidR="007A17A6" w:rsidRDefault="007A17A6" w:rsidP="007A17A6">
      <w:pPr>
        <w:ind w:firstLine="709"/>
        <w:jc w:val="both"/>
      </w:pPr>
      <w:r>
        <w:t>отказ от планирования предоставления муниципальных гарантий муниципального образования Рыбкинский сельсовет Новосергиевского района Оренбургской области;</w:t>
      </w:r>
    </w:p>
    <w:p w:rsidR="007A17A6" w:rsidRDefault="007A17A6" w:rsidP="007A17A6">
      <w:pPr>
        <w:autoSpaceDE w:val="0"/>
        <w:autoSpaceDN w:val="0"/>
        <w:adjustRightInd w:val="0"/>
        <w:ind w:firstLine="709"/>
        <w:jc w:val="both"/>
      </w:pPr>
      <w:proofErr w:type="gramStart"/>
      <w:r>
        <w:t>сохранение объема расходов на обслуживание муниципального долга в очередном финансовом году (очередном финансовом году и плановом периоде), утвержденного решением Совета депутатов о бюджете, по данным отчета об исполнении бюджета за отчетный финансовый год на уровне не более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ind w:firstLine="709"/>
        <w:jc w:val="both"/>
      </w:pPr>
    </w:p>
    <w:p w:rsidR="007A17A6" w:rsidRDefault="007A17A6" w:rsidP="007A17A6">
      <w:pPr>
        <w:autoSpaceDE w:val="0"/>
        <w:autoSpaceDN w:val="0"/>
        <w:adjustRightInd w:val="0"/>
        <w:jc w:val="both"/>
      </w:pPr>
    </w:p>
    <w:p w:rsidR="007A17A6" w:rsidRDefault="007A17A6" w:rsidP="007A17A6">
      <w:pPr>
        <w:autoSpaceDE w:val="0"/>
        <w:autoSpaceDN w:val="0"/>
        <w:adjustRightInd w:val="0"/>
        <w:jc w:val="both"/>
      </w:pPr>
    </w:p>
    <w:p w:rsidR="007A17A6" w:rsidRDefault="007A17A6" w:rsidP="007A17A6">
      <w:pPr>
        <w:autoSpaceDE w:val="0"/>
        <w:autoSpaceDN w:val="0"/>
        <w:adjustRightInd w:val="0"/>
        <w:jc w:val="both"/>
      </w:pPr>
    </w:p>
    <w:p w:rsidR="007A17A6" w:rsidRDefault="007A17A6" w:rsidP="007A17A6">
      <w:pPr>
        <w:autoSpaceDE w:val="0"/>
        <w:autoSpaceDN w:val="0"/>
        <w:adjustRightInd w:val="0"/>
        <w:jc w:val="both"/>
      </w:pPr>
    </w:p>
    <w:tbl>
      <w:tblPr>
        <w:tblW w:w="11625" w:type="dxa"/>
        <w:tblInd w:w="-601" w:type="dxa"/>
        <w:tblLayout w:type="fixed"/>
        <w:tblLook w:val="04A0" w:firstRow="1" w:lastRow="0" w:firstColumn="1" w:lastColumn="0" w:noHBand="0" w:noVBand="1"/>
      </w:tblPr>
      <w:tblGrid>
        <w:gridCol w:w="2552"/>
        <w:gridCol w:w="4394"/>
        <w:gridCol w:w="1276"/>
        <w:gridCol w:w="1276"/>
        <w:gridCol w:w="992"/>
        <w:gridCol w:w="1135"/>
      </w:tblGrid>
      <w:tr w:rsidR="007A17A6" w:rsidTr="007A17A6">
        <w:trPr>
          <w:trHeight w:val="900"/>
        </w:trPr>
        <w:tc>
          <w:tcPr>
            <w:tcW w:w="10490" w:type="dxa"/>
            <w:gridSpan w:val="5"/>
            <w:vAlign w:val="center"/>
          </w:tcPr>
          <w:p w:rsidR="007A17A6" w:rsidRDefault="007A17A6">
            <w:pPr>
              <w:shd w:val="clear" w:color="auto" w:fill="FFFFFF"/>
              <w:spacing w:line="276" w:lineRule="auto"/>
              <w:jc w:val="right"/>
              <w:rPr>
                <w:color w:val="000000"/>
                <w:lang w:eastAsia="en-US"/>
              </w:rPr>
            </w:pPr>
            <w:r>
              <w:rPr>
                <w:bCs w:val="0"/>
                <w:iCs/>
                <w:color w:val="000000"/>
                <w:lang w:eastAsia="en-US"/>
              </w:rPr>
              <w:lastRenderedPageBreak/>
              <w:t xml:space="preserve">Приложение № 3 </w:t>
            </w:r>
          </w:p>
          <w:p w:rsidR="007A17A6" w:rsidRDefault="007A17A6">
            <w:pPr>
              <w:shd w:val="clear" w:color="auto" w:fill="FFFFFF"/>
              <w:spacing w:line="276" w:lineRule="auto"/>
              <w:jc w:val="right"/>
              <w:rPr>
                <w:color w:val="000000"/>
                <w:lang w:eastAsia="en-US"/>
              </w:rPr>
            </w:pPr>
            <w:r>
              <w:rPr>
                <w:bCs w:val="0"/>
                <w:iCs/>
                <w:color w:val="000000"/>
                <w:lang w:eastAsia="en-US"/>
              </w:rPr>
              <w:t>к постановлению администрации</w:t>
            </w:r>
          </w:p>
          <w:p w:rsidR="007A17A6" w:rsidRDefault="007A17A6">
            <w:pPr>
              <w:shd w:val="clear" w:color="auto" w:fill="FFFFFF"/>
              <w:spacing w:line="276" w:lineRule="auto"/>
              <w:jc w:val="right"/>
              <w:rPr>
                <w:color w:val="000000"/>
                <w:lang w:eastAsia="en-US"/>
              </w:rPr>
            </w:pPr>
            <w:r>
              <w:rPr>
                <w:bCs w:val="0"/>
                <w:iCs/>
                <w:color w:val="000000"/>
                <w:lang w:eastAsia="en-US"/>
              </w:rPr>
              <w:t xml:space="preserve">                                                        Рыбкинского сельсовета</w:t>
            </w:r>
          </w:p>
          <w:p w:rsidR="007A17A6" w:rsidRDefault="007A17A6">
            <w:pPr>
              <w:spacing w:line="276" w:lineRule="auto"/>
              <w:ind w:right="-2"/>
              <w:jc w:val="right"/>
              <w:rPr>
                <w:bCs w:val="0"/>
                <w:iCs/>
                <w:color w:val="000000"/>
                <w:sz w:val="24"/>
                <w:szCs w:val="24"/>
                <w:lang w:eastAsia="en-US"/>
              </w:rPr>
            </w:pPr>
            <w:r>
              <w:rPr>
                <w:bCs w:val="0"/>
                <w:iCs/>
                <w:color w:val="000000"/>
                <w:lang w:eastAsia="en-US"/>
              </w:rPr>
              <w:t xml:space="preserve">                                              от  15.11.2018 г. № 96-п.</w:t>
            </w:r>
            <w:r>
              <w:rPr>
                <w:bCs w:val="0"/>
                <w:iCs/>
                <w:color w:val="000000"/>
                <w:sz w:val="24"/>
                <w:szCs w:val="24"/>
                <w:lang w:eastAsia="en-US"/>
              </w:rPr>
              <w:t xml:space="preserve"> </w:t>
            </w:r>
          </w:p>
          <w:p w:rsidR="007A17A6" w:rsidRDefault="007A17A6">
            <w:pPr>
              <w:spacing w:line="276" w:lineRule="auto"/>
              <w:ind w:right="-2"/>
              <w:jc w:val="right"/>
              <w:rPr>
                <w:bCs w:val="0"/>
                <w:iCs/>
                <w:color w:val="000000"/>
                <w:sz w:val="24"/>
                <w:szCs w:val="24"/>
                <w:lang w:eastAsia="en-US"/>
              </w:rPr>
            </w:pPr>
            <w:r>
              <w:rPr>
                <w:bCs w:val="0"/>
                <w:iCs/>
                <w:color w:val="000000"/>
                <w:sz w:val="24"/>
                <w:szCs w:val="24"/>
                <w:lang w:eastAsia="en-US"/>
              </w:rPr>
              <w:t xml:space="preserve">    </w:t>
            </w:r>
          </w:p>
          <w:p w:rsidR="007A17A6" w:rsidRDefault="007A17A6">
            <w:pPr>
              <w:spacing w:line="276" w:lineRule="auto"/>
              <w:jc w:val="center"/>
              <w:rPr>
                <w:b/>
                <w:bCs w:val="0"/>
                <w:lang w:eastAsia="en-US"/>
              </w:rPr>
            </w:pPr>
            <w:r>
              <w:rPr>
                <w:b/>
                <w:bCs w:val="0"/>
                <w:lang w:eastAsia="en-US"/>
              </w:rPr>
              <w:t>Проект  бюджета муниципального образования Рыбкинский сельсовет Новосергиевского района на 2019-2021 годы в разрезе доходных  источников и распределения расходов по их основным направлениям, тыс. руб.</w:t>
            </w:r>
          </w:p>
          <w:p w:rsidR="007A17A6" w:rsidRDefault="007A17A6">
            <w:pPr>
              <w:spacing w:line="276" w:lineRule="auto"/>
              <w:jc w:val="center"/>
              <w:rPr>
                <w:b/>
                <w:lang w:eastAsia="en-US"/>
              </w:rPr>
            </w:pPr>
          </w:p>
          <w:tbl>
            <w:tblPr>
              <w:tblW w:w="0" w:type="auto"/>
              <w:tblLayout w:type="fixed"/>
              <w:tblCellMar>
                <w:left w:w="30" w:type="dxa"/>
                <w:right w:w="30" w:type="dxa"/>
              </w:tblCellMar>
              <w:tblLook w:val="04A0" w:firstRow="1" w:lastRow="0" w:firstColumn="1" w:lastColumn="0" w:noHBand="0" w:noVBand="1"/>
            </w:tblPr>
            <w:tblGrid>
              <w:gridCol w:w="2410"/>
              <w:gridCol w:w="4395"/>
              <w:gridCol w:w="1275"/>
              <w:gridCol w:w="1276"/>
              <w:gridCol w:w="992"/>
            </w:tblGrid>
            <w:tr w:rsidR="007A17A6">
              <w:trPr>
                <w:trHeight w:val="667"/>
              </w:trPr>
              <w:tc>
                <w:tcPr>
                  <w:tcW w:w="2410" w:type="dxa"/>
                  <w:tcBorders>
                    <w:top w:val="single" w:sz="12"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Код бюджетной  классификации Российской Федерации</w:t>
                  </w:r>
                </w:p>
              </w:tc>
              <w:tc>
                <w:tcPr>
                  <w:tcW w:w="4395" w:type="dxa"/>
                  <w:tcBorders>
                    <w:top w:val="single" w:sz="12"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jc w:val="center"/>
                    <w:rPr>
                      <w:rFonts w:ascii="Arial" w:hAnsi="Arial" w:cs="Arial"/>
                      <w:color w:val="000000"/>
                      <w:sz w:val="20"/>
                      <w:szCs w:val="20"/>
                      <w:lang w:eastAsia="en-US"/>
                    </w:rPr>
                  </w:pPr>
                  <w:proofErr w:type="gramStart"/>
                  <w:r>
                    <w:rPr>
                      <w:rFonts w:ascii="Arial" w:hAnsi="Arial" w:cs="Arial"/>
                      <w:color w:val="000000"/>
                      <w:sz w:val="20"/>
                      <w:szCs w:val="20"/>
                      <w:lang w:eastAsia="en-US"/>
                    </w:rPr>
                    <w:t>Наименование групп, подгрупп, статей, подстатей, элементов, программ (подпрограмм), кодов экономической классификации</w:t>
                  </w:r>
                  <w:proofErr w:type="gramEnd"/>
                </w:p>
              </w:tc>
              <w:tc>
                <w:tcPr>
                  <w:tcW w:w="1275" w:type="dxa"/>
                  <w:tcBorders>
                    <w:top w:val="single" w:sz="12" w:space="0" w:color="auto"/>
                    <w:left w:val="single" w:sz="6" w:space="0" w:color="auto"/>
                    <w:bottom w:val="single" w:sz="6" w:space="0" w:color="auto"/>
                    <w:right w:val="nil"/>
                  </w:tcBorders>
                  <w:hideMark/>
                </w:tcPr>
                <w:p w:rsidR="007A17A6" w:rsidRDefault="007A17A6">
                  <w:pPr>
                    <w:autoSpaceDE w:val="0"/>
                    <w:autoSpaceDN w:val="0"/>
                    <w:adjustRightInd w:val="0"/>
                    <w:spacing w:line="276" w:lineRule="auto"/>
                    <w:jc w:val="center"/>
                    <w:rPr>
                      <w:rFonts w:ascii="Arial" w:hAnsi="Arial" w:cs="Arial"/>
                      <w:b/>
                      <w:color w:val="000000"/>
                      <w:sz w:val="20"/>
                      <w:szCs w:val="20"/>
                      <w:lang w:eastAsia="en-US"/>
                    </w:rPr>
                  </w:pPr>
                  <w:r>
                    <w:rPr>
                      <w:rFonts w:ascii="Arial" w:hAnsi="Arial" w:cs="Arial"/>
                      <w:b/>
                      <w:bCs w:val="0"/>
                      <w:color w:val="000000"/>
                      <w:sz w:val="20"/>
                      <w:szCs w:val="20"/>
                      <w:lang w:eastAsia="en-US"/>
                    </w:rPr>
                    <w:t>2019 год</w:t>
                  </w:r>
                </w:p>
              </w:tc>
              <w:tc>
                <w:tcPr>
                  <w:tcW w:w="1276" w:type="dxa"/>
                  <w:tcBorders>
                    <w:top w:val="single" w:sz="12" w:space="0" w:color="auto"/>
                    <w:left w:val="single" w:sz="12" w:space="0" w:color="auto"/>
                    <w:bottom w:val="single" w:sz="6" w:space="0" w:color="auto"/>
                    <w:right w:val="nil"/>
                  </w:tcBorders>
                  <w:hideMark/>
                </w:tcPr>
                <w:p w:rsidR="007A17A6" w:rsidRDefault="007A17A6">
                  <w:pPr>
                    <w:autoSpaceDE w:val="0"/>
                    <w:autoSpaceDN w:val="0"/>
                    <w:adjustRightInd w:val="0"/>
                    <w:spacing w:line="276" w:lineRule="auto"/>
                    <w:jc w:val="center"/>
                    <w:rPr>
                      <w:rFonts w:ascii="Arial" w:hAnsi="Arial" w:cs="Arial"/>
                      <w:b/>
                      <w:color w:val="000000"/>
                      <w:sz w:val="20"/>
                      <w:szCs w:val="20"/>
                      <w:lang w:eastAsia="en-US"/>
                    </w:rPr>
                  </w:pPr>
                  <w:r>
                    <w:rPr>
                      <w:rFonts w:ascii="Arial" w:hAnsi="Arial" w:cs="Arial"/>
                      <w:b/>
                      <w:bCs w:val="0"/>
                      <w:color w:val="000000"/>
                      <w:sz w:val="20"/>
                      <w:szCs w:val="20"/>
                      <w:lang w:eastAsia="en-US"/>
                    </w:rPr>
                    <w:t>2020 год</w:t>
                  </w:r>
                </w:p>
              </w:tc>
              <w:tc>
                <w:tcPr>
                  <w:tcW w:w="992" w:type="dxa"/>
                  <w:tcBorders>
                    <w:top w:val="single" w:sz="12" w:space="0" w:color="auto"/>
                    <w:left w:val="single" w:sz="6" w:space="0" w:color="auto"/>
                    <w:bottom w:val="single" w:sz="6" w:space="0" w:color="auto"/>
                    <w:right w:val="single" w:sz="12" w:space="0" w:color="auto"/>
                  </w:tcBorders>
                  <w:hideMark/>
                </w:tcPr>
                <w:p w:rsidR="007A17A6" w:rsidRDefault="007A17A6">
                  <w:pPr>
                    <w:autoSpaceDE w:val="0"/>
                    <w:autoSpaceDN w:val="0"/>
                    <w:adjustRightInd w:val="0"/>
                    <w:spacing w:line="276" w:lineRule="auto"/>
                    <w:jc w:val="center"/>
                    <w:rPr>
                      <w:rFonts w:ascii="Arial" w:hAnsi="Arial" w:cs="Arial"/>
                      <w:b/>
                      <w:color w:val="000000"/>
                      <w:sz w:val="20"/>
                      <w:szCs w:val="20"/>
                      <w:lang w:eastAsia="en-US"/>
                    </w:rPr>
                  </w:pPr>
                  <w:r>
                    <w:rPr>
                      <w:rFonts w:ascii="Arial" w:hAnsi="Arial" w:cs="Arial"/>
                      <w:b/>
                      <w:bCs w:val="0"/>
                      <w:color w:val="000000"/>
                      <w:sz w:val="20"/>
                      <w:szCs w:val="20"/>
                      <w:lang w:eastAsia="en-US"/>
                    </w:rPr>
                    <w:t>2021 год</w:t>
                  </w:r>
                </w:p>
              </w:tc>
            </w:tr>
            <w:tr w:rsidR="007A17A6">
              <w:trPr>
                <w:trHeight w:val="230"/>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1 00 00000 00 0000 000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 xml:space="preserve"> НАЛОГОВЫЕ И НЕНАЛОГОВЫЕ ДОХОДЫ</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971,8</w:t>
                  </w:r>
                </w:p>
              </w:tc>
              <w:tc>
                <w:tcPr>
                  <w:tcW w:w="1276" w:type="dxa"/>
                  <w:tcBorders>
                    <w:top w:val="single" w:sz="6" w:space="0" w:color="auto"/>
                    <w:left w:val="single" w:sz="12"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1 031,5</w:t>
                  </w:r>
                </w:p>
              </w:tc>
              <w:tc>
                <w:tcPr>
                  <w:tcW w:w="992" w:type="dxa"/>
                  <w:tcBorders>
                    <w:top w:val="single" w:sz="6" w:space="0" w:color="auto"/>
                    <w:left w:val="single" w:sz="6" w:space="0" w:color="auto"/>
                    <w:bottom w:val="single" w:sz="6"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1 151,4</w:t>
                  </w:r>
                </w:p>
              </w:tc>
            </w:tr>
            <w:tr w:rsidR="007A17A6">
              <w:trPr>
                <w:trHeight w:val="242"/>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1 01 0000 00 0000 000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НАЛОГИ НА ПРИБЫЛЬ, ДОХОДЫ</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130,0</w:t>
                  </w:r>
                </w:p>
              </w:tc>
              <w:tc>
                <w:tcPr>
                  <w:tcW w:w="1276" w:type="dxa"/>
                  <w:tcBorders>
                    <w:top w:val="single" w:sz="6" w:space="0" w:color="auto"/>
                    <w:left w:val="single" w:sz="12"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135,6</w:t>
                  </w:r>
                </w:p>
              </w:tc>
              <w:tc>
                <w:tcPr>
                  <w:tcW w:w="992" w:type="dxa"/>
                  <w:tcBorders>
                    <w:top w:val="single" w:sz="6" w:space="0" w:color="auto"/>
                    <w:left w:val="single" w:sz="6" w:space="0" w:color="auto"/>
                    <w:bottom w:val="single" w:sz="6"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141,7</w:t>
                  </w:r>
                </w:p>
              </w:tc>
            </w:tr>
            <w:tr w:rsidR="007A17A6">
              <w:trPr>
                <w:trHeight w:val="221"/>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1 01 02000 01 000 110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Налог на доходы физических лиц</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130,0</w:t>
                  </w:r>
                </w:p>
              </w:tc>
              <w:tc>
                <w:tcPr>
                  <w:tcW w:w="1276" w:type="dxa"/>
                  <w:tcBorders>
                    <w:top w:val="single" w:sz="6" w:space="0" w:color="auto"/>
                    <w:left w:val="single" w:sz="12"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135,6</w:t>
                  </w:r>
                </w:p>
              </w:tc>
              <w:tc>
                <w:tcPr>
                  <w:tcW w:w="992" w:type="dxa"/>
                  <w:tcBorders>
                    <w:top w:val="single" w:sz="6" w:space="0" w:color="auto"/>
                    <w:left w:val="single" w:sz="6" w:space="0" w:color="auto"/>
                    <w:bottom w:val="single" w:sz="6"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141,7</w:t>
                  </w:r>
                </w:p>
              </w:tc>
            </w:tr>
            <w:tr w:rsidR="007A17A6">
              <w:trPr>
                <w:trHeight w:val="953"/>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1 01 02010 01 0000 110</w:t>
                  </w:r>
                </w:p>
              </w:tc>
              <w:tc>
                <w:tcPr>
                  <w:tcW w:w="4395" w:type="dxa"/>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color w:val="000000"/>
                      <w:sz w:val="18"/>
                      <w:szCs w:val="18"/>
                      <w:vertAlign w:val="superscript"/>
                      <w:lang w:eastAsia="en-US"/>
                    </w:rPr>
                    <w:t>1</w:t>
                  </w:r>
                  <w:r>
                    <w:rPr>
                      <w:rFonts w:ascii="Arial" w:hAnsi="Arial" w:cs="Arial"/>
                      <w:color w:val="000000"/>
                      <w:sz w:val="18"/>
                      <w:szCs w:val="18"/>
                      <w:lang w:eastAsia="en-US"/>
                    </w:rPr>
                    <w:t xml:space="preserve"> и 228 Налогового кодекса Российской Федерации</w:t>
                  </w:r>
                </w:p>
              </w:tc>
              <w:tc>
                <w:tcPr>
                  <w:tcW w:w="1275" w:type="dxa"/>
                  <w:tcBorders>
                    <w:top w:val="single" w:sz="6" w:space="0" w:color="auto"/>
                    <w:left w:val="single" w:sz="6" w:space="0" w:color="auto"/>
                    <w:bottom w:val="single" w:sz="6" w:space="0" w:color="auto"/>
                    <w:right w:val="nil"/>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130,0</w:t>
                  </w:r>
                </w:p>
              </w:tc>
              <w:tc>
                <w:tcPr>
                  <w:tcW w:w="1276" w:type="dxa"/>
                  <w:tcBorders>
                    <w:top w:val="single" w:sz="6" w:space="0" w:color="auto"/>
                    <w:left w:val="single" w:sz="12" w:space="0" w:color="auto"/>
                    <w:bottom w:val="single" w:sz="6" w:space="0" w:color="auto"/>
                    <w:right w:val="nil"/>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135,6</w:t>
                  </w:r>
                </w:p>
              </w:tc>
              <w:tc>
                <w:tcPr>
                  <w:tcW w:w="992" w:type="dxa"/>
                  <w:tcBorders>
                    <w:top w:val="single" w:sz="6" w:space="0" w:color="auto"/>
                    <w:left w:val="single" w:sz="6" w:space="0" w:color="auto"/>
                    <w:bottom w:val="single" w:sz="6" w:space="0" w:color="auto"/>
                    <w:right w:val="single" w:sz="12" w:space="0" w:color="auto"/>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141,7</w:t>
                  </w:r>
                </w:p>
              </w:tc>
            </w:tr>
            <w:tr w:rsidR="007A17A6">
              <w:trPr>
                <w:trHeight w:val="607"/>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1 03 00000 00 0000 000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НАЛОГИ НА ТОВАРЫ (РАБОТЫ, УСЛУГИ), РЕАЛИЗУЕМЫЕ НА ТЕРРИТОРИИ РОССИЙСКОЙ ФЕДЕРАЦИИ</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211,3</w:t>
                  </w:r>
                </w:p>
              </w:tc>
              <w:tc>
                <w:tcPr>
                  <w:tcW w:w="1276" w:type="dxa"/>
                  <w:tcBorders>
                    <w:top w:val="single" w:sz="6" w:space="0" w:color="auto"/>
                    <w:left w:val="single" w:sz="12"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265,2</w:t>
                  </w:r>
                </w:p>
              </w:tc>
              <w:tc>
                <w:tcPr>
                  <w:tcW w:w="992" w:type="dxa"/>
                  <w:tcBorders>
                    <w:top w:val="single" w:sz="6" w:space="0" w:color="auto"/>
                    <w:left w:val="single" w:sz="6" w:space="0" w:color="auto"/>
                    <w:bottom w:val="single" w:sz="6"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378,8</w:t>
                  </w:r>
                </w:p>
              </w:tc>
            </w:tr>
            <w:tr w:rsidR="007A17A6">
              <w:trPr>
                <w:trHeight w:val="557"/>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1 03 02000 01 0000 110</w:t>
                  </w:r>
                </w:p>
              </w:tc>
              <w:tc>
                <w:tcPr>
                  <w:tcW w:w="4395" w:type="dxa"/>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Акцизы по подакцизным товарам (продукции), производимым на территории Российской Федерации</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211,3</w:t>
                  </w:r>
                </w:p>
              </w:tc>
              <w:tc>
                <w:tcPr>
                  <w:tcW w:w="1276"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265,2</w:t>
                  </w:r>
                </w:p>
              </w:tc>
              <w:tc>
                <w:tcPr>
                  <w:tcW w:w="992"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378,8</w:t>
                  </w:r>
                </w:p>
              </w:tc>
            </w:tr>
            <w:tr w:rsidR="007A17A6">
              <w:trPr>
                <w:trHeight w:val="1010"/>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1 03 02230 01 0000 110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20"/>
                      <w:szCs w:val="20"/>
                      <w:lang w:eastAsia="en-US"/>
                    </w:rPr>
                  </w:pPr>
                  <w:r>
                    <w:rPr>
                      <w:rFonts w:ascii="Arial" w:hAnsi="Arial" w:cs="Arial"/>
                      <w:color w:val="000000"/>
                      <w:sz w:val="20"/>
                      <w:szCs w:val="20"/>
                      <w:lang w:eastAsia="en-US"/>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275" w:type="dxa"/>
                  <w:tcBorders>
                    <w:top w:val="single" w:sz="6" w:space="0" w:color="auto"/>
                    <w:left w:val="single" w:sz="6" w:space="0" w:color="auto"/>
                    <w:bottom w:val="single" w:sz="6" w:space="0" w:color="auto"/>
                    <w:right w:val="nil"/>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78,0</w:t>
                  </w:r>
                </w:p>
              </w:tc>
              <w:tc>
                <w:tcPr>
                  <w:tcW w:w="1276" w:type="dxa"/>
                  <w:tcBorders>
                    <w:top w:val="single" w:sz="6" w:space="0" w:color="auto"/>
                    <w:left w:val="single" w:sz="12" w:space="0" w:color="auto"/>
                    <w:bottom w:val="single" w:sz="6" w:space="0" w:color="auto"/>
                    <w:right w:val="nil"/>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100,7</w:t>
                  </w:r>
                </w:p>
              </w:tc>
              <w:tc>
                <w:tcPr>
                  <w:tcW w:w="992" w:type="dxa"/>
                  <w:tcBorders>
                    <w:top w:val="single" w:sz="6" w:space="0" w:color="auto"/>
                    <w:left w:val="single" w:sz="6" w:space="0" w:color="auto"/>
                    <w:bottom w:val="single" w:sz="6" w:space="0" w:color="auto"/>
                    <w:right w:val="single" w:sz="12" w:space="0" w:color="auto"/>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143,3</w:t>
                  </w:r>
                </w:p>
              </w:tc>
            </w:tr>
            <w:tr w:rsidR="007A17A6">
              <w:trPr>
                <w:trHeight w:val="1243"/>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1 03 02240 01 0000 110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20"/>
                      <w:szCs w:val="20"/>
                      <w:lang w:eastAsia="en-US"/>
                    </w:rPr>
                  </w:pPr>
                  <w:r>
                    <w:rPr>
                      <w:rFonts w:ascii="Arial" w:hAnsi="Arial" w:cs="Arial"/>
                      <w:color w:val="000000"/>
                      <w:sz w:val="20"/>
                      <w:szCs w:val="20"/>
                      <w:lang w:eastAsia="en-US"/>
                    </w:rPr>
                    <w:t>Доходы от уплаты акцизов на моторные масла для дизельных и (или) карбюраторных (</w:t>
                  </w:r>
                  <w:proofErr w:type="spellStart"/>
                  <w:r>
                    <w:rPr>
                      <w:rFonts w:ascii="Arial" w:hAnsi="Arial" w:cs="Arial"/>
                      <w:color w:val="000000"/>
                      <w:sz w:val="20"/>
                      <w:szCs w:val="20"/>
                      <w:lang w:eastAsia="en-US"/>
                    </w:rPr>
                    <w:t>инжекторных</w:t>
                  </w:r>
                  <w:proofErr w:type="spellEnd"/>
                  <w:r>
                    <w:rPr>
                      <w:rFonts w:ascii="Arial" w:hAnsi="Arial" w:cs="Arial"/>
                      <w:color w:val="000000"/>
                      <w:sz w:val="20"/>
                      <w:szCs w:val="20"/>
                      <w:lang w:eastAsia="en-US"/>
                    </w:rPr>
                    <w:t xml:space="preserve">)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275" w:type="dxa"/>
                  <w:tcBorders>
                    <w:top w:val="single" w:sz="6" w:space="0" w:color="auto"/>
                    <w:left w:val="single" w:sz="6" w:space="0" w:color="auto"/>
                    <w:bottom w:val="single" w:sz="6" w:space="0" w:color="auto"/>
                    <w:right w:val="nil"/>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0,6</w:t>
                  </w:r>
                </w:p>
              </w:tc>
              <w:tc>
                <w:tcPr>
                  <w:tcW w:w="1276" w:type="dxa"/>
                  <w:tcBorders>
                    <w:top w:val="single" w:sz="6" w:space="0" w:color="auto"/>
                    <w:left w:val="single" w:sz="12" w:space="0" w:color="auto"/>
                    <w:bottom w:val="single" w:sz="6" w:space="0" w:color="auto"/>
                    <w:right w:val="nil"/>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0,6</w:t>
                  </w:r>
                </w:p>
              </w:tc>
              <w:tc>
                <w:tcPr>
                  <w:tcW w:w="992" w:type="dxa"/>
                  <w:tcBorders>
                    <w:top w:val="single" w:sz="6" w:space="0" w:color="auto"/>
                    <w:left w:val="single" w:sz="6" w:space="0" w:color="auto"/>
                    <w:bottom w:val="single" w:sz="6" w:space="0" w:color="auto"/>
                    <w:right w:val="single" w:sz="12" w:space="0" w:color="auto"/>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0,9</w:t>
                  </w:r>
                </w:p>
              </w:tc>
            </w:tr>
            <w:tr w:rsidR="007A17A6">
              <w:trPr>
                <w:trHeight w:val="1121"/>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1 03 02250 01 0000 110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20"/>
                      <w:szCs w:val="20"/>
                      <w:lang w:eastAsia="en-US"/>
                    </w:rPr>
                  </w:pPr>
                  <w:r>
                    <w:rPr>
                      <w:rFonts w:ascii="Arial" w:hAnsi="Arial" w:cs="Arial"/>
                      <w:color w:val="000000"/>
                      <w:sz w:val="20"/>
                      <w:szCs w:val="20"/>
                      <w:lang w:eastAsia="en-US"/>
                    </w:rPr>
                    <w:t xml:space="preserve">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275" w:type="dxa"/>
                  <w:tcBorders>
                    <w:top w:val="single" w:sz="6" w:space="0" w:color="auto"/>
                    <w:left w:val="single" w:sz="6" w:space="0" w:color="auto"/>
                    <w:bottom w:val="single" w:sz="6" w:space="0" w:color="auto"/>
                    <w:right w:val="nil"/>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159,1</w:t>
                  </w:r>
                </w:p>
              </w:tc>
              <w:tc>
                <w:tcPr>
                  <w:tcW w:w="1276" w:type="dxa"/>
                  <w:tcBorders>
                    <w:top w:val="single" w:sz="6" w:space="0" w:color="auto"/>
                    <w:left w:val="single" w:sz="12" w:space="0" w:color="auto"/>
                    <w:bottom w:val="single" w:sz="6" w:space="0" w:color="auto"/>
                    <w:right w:val="nil"/>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198,2</w:t>
                  </w:r>
                </w:p>
              </w:tc>
              <w:tc>
                <w:tcPr>
                  <w:tcW w:w="992" w:type="dxa"/>
                  <w:tcBorders>
                    <w:top w:val="single" w:sz="6" w:space="0" w:color="auto"/>
                    <w:left w:val="single" w:sz="6" w:space="0" w:color="auto"/>
                    <w:bottom w:val="single" w:sz="6" w:space="0" w:color="auto"/>
                    <w:right w:val="single" w:sz="12" w:space="0" w:color="auto"/>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281,8</w:t>
                  </w:r>
                </w:p>
              </w:tc>
            </w:tr>
            <w:tr w:rsidR="007A17A6">
              <w:trPr>
                <w:trHeight w:val="1121"/>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1 03 02260 01 0000 110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20"/>
                      <w:szCs w:val="20"/>
                      <w:lang w:eastAsia="en-US"/>
                    </w:rPr>
                  </w:pPr>
                  <w:r>
                    <w:rPr>
                      <w:rFonts w:ascii="Arial" w:hAnsi="Arial" w:cs="Arial"/>
                      <w:color w:val="000000"/>
                      <w:sz w:val="20"/>
                      <w:szCs w:val="20"/>
                      <w:lang w:eastAsia="en-US"/>
                    </w:rPr>
                    <w:t xml:space="preserve">Доходы от уплаты акцизов на прямогонный бензин, подлежащие  распределению между бюджетами субъектов РФ и местными бюджетами с учетом установленных </w:t>
                  </w:r>
                  <w:r>
                    <w:rPr>
                      <w:rFonts w:ascii="Arial" w:hAnsi="Arial" w:cs="Arial"/>
                      <w:color w:val="000000"/>
                      <w:sz w:val="20"/>
                      <w:szCs w:val="20"/>
                      <w:lang w:eastAsia="en-US"/>
                    </w:rPr>
                    <w:lastRenderedPageBreak/>
                    <w:t xml:space="preserve">дифференцированных нормативов отчислений в местные бюджеты                                                           </w:t>
                  </w:r>
                </w:p>
              </w:tc>
              <w:tc>
                <w:tcPr>
                  <w:tcW w:w="1275" w:type="dxa"/>
                  <w:tcBorders>
                    <w:top w:val="single" w:sz="6" w:space="0" w:color="auto"/>
                    <w:left w:val="single" w:sz="6" w:space="0" w:color="auto"/>
                    <w:bottom w:val="single" w:sz="6" w:space="0" w:color="auto"/>
                    <w:right w:val="nil"/>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lastRenderedPageBreak/>
                    <w:t>-26,4</w:t>
                  </w:r>
                </w:p>
              </w:tc>
              <w:tc>
                <w:tcPr>
                  <w:tcW w:w="1276" w:type="dxa"/>
                  <w:tcBorders>
                    <w:top w:val="single" w:sz="6" w:space="0" w:color="auto"/>
                    <w:left w:val="single" w:sz="12" w:space="0" w:color="auto"/>
                    <w:bottom w:val="single" w:sz="6" w:space="0" w:color="auto"/>
                    <w:right w:val="nil"/>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-34,3</w:t>
                  </w:r>
                </w:p>
              </w:tc>
              <w:tc>
                <w:tcPr>
                  <w:tcW w:w="992" w:type="dxa"/>
                  <w:tcBorders>
                    <w:top w:val="single" w:sz="6" w:space="0" w:color="auto"/>
                    <w:left w:val="single" w:sz="6" w:space="0" w:color="auto"/>
                    <w:bottom w:val="single" w:sz="6" w:space="0" w:color="auto"/>
                    <w:right w:val="single" w:sz="12" w:space="0" w:color="auto"/>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-47,2</w:t>
                  </w:r>
                </w:p>
              </w:tc>
            </w:tr>
            <w:tr w:rsidR="007A17A6">
              <w:trPr>
                <w:trHeight w:val="230"/>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lastRenderedPageBreak/>
                    <w:t>1 05 00000 00 0000 000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Налоги на совокупный доход</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2,5</w:t>
                  </w:r>
                </w:p>
              </w:tc>
              <w:tc>
                <w:tcPr>
                  <w:tcW w:w="1276" w:type="dxa"/>
                  <w:tcBorders>
                    <w:top w:val="single" w:sz="6" w:space="0" w:color="auto"/>
                    <w:left w:val="single" w:sz="12"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2,7</w:t>
                  </w:r>
                </w:p>
              </w:tc>
              <w:tc>
                <w:tcPr>
                  <w:tcW w:w="992" w:type="dxa"/>
                  <w:tcBorders>
                    <w:top w:val="single" w:sz="6" w:space="0" w:color="auto"/>
                    <w:left w:val="single" w:sz="6" w:space="0" w:color="auto"/>
                    <w:bottom w:val="single" w:sz="6"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2,9</w:t>
                  </w:r>
                </w:p>
              </w:tc>
            </w:tr>
            <w:tr w:rsidR="007A17A6">
              <w:trPr>
                <w:trHeight w:val="230"/>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1 05 03010 01 0000 110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20"/>
                      <w:szCs w:val="20"/>
                      <w:lang w:eastAsia="en-US"/>
                    </w:rPr>
                  </w:pPr>
                  <w:r>
                    <w:rPr>
                      <w:rFonts w:ascii="Arial" w:hAnsi="Arial" w:cs="Arial"/>
                      <w:color w:val="000000"/>
                      <w:sz w:val="20"/>
                      <w:szCs w:val="20"/>
                      <w:lang w:eastAsia="en-US"/>
                    </w:rPr>
                    <w:t>Единый сельскохозяйственный налог</w:t>
                  </w:r>
                </w:p>
              </w:tc>
              <w:tc>
                <w:tcPr>
                  <w:tcW w:w="1275" w:type="dxa"/>
                  <w:tcBorders>
                    <w:top w:val="single" w:sz="6" w:space="0" w:color="auto"/>
                    <w:left w:val="single" w:sz="6" w:space="0" w:color="auto"/>
                    <w:bottom w:val="single" w:sz="6" w:space="0" w:color="auto"/>
                    <w:right w:val="nil"/>
                  </w:tcBorders>
                  <w:shd w:val="solid" w:color="FFFFFF" w:fill="auto"/>
                  <w:hideMark/>
                </w:tcPr>
                <w:p w:rsidR="007A17A6" w:rsidRDefault="007A17A6">
                  <w:pPr>
                    <w:autoSpaceDE w:val="0"/>
                    <w:autoSpaceDN w:val="0"/>
                    <w:adjustRightInd w:val="0"/>
                    <w:spacing w:line="276" w:lineRule="auto"/>
                    <w:jc w:val="right"/>
                    <w:rPr>
                      <w:rFonts w:ascii="Arial" w:hAnsi="Arial" w:cs="Arial"/>
                      <w:i/>
                      <w:iCs/>
                      <w:color w:val="000000"/>
                      <w:sz w:val="20"/>
                      <w:szCs w:val="20"/>
                      <w:lang w:eastAsia="en-US"/>
                    </w:rPr>
                  </w:pPr>
                  <w:r>
                    <w:rPr>
                      <w:rFonts w:ascii="Arial" w:hAnsi="Arial" w:cs="Arial"/>
                      <w:i/>
                      <w:iCs/>
                      <w:color w:val="000000"/>
                      <w:sz w:val="20"/>
                      <w:szCs w:val="20"/>
                      <w:lang w:eastAsia="en-US"/>
                    </w:rPr>
                    <w:t>2,5</w:t>
                  </w:r>
                </w:p>
              </w:tc>
              <w:tc>
                <w:tcPr>
                  <w:tcW w:w="1276" w:type="dxa"/>
                  <w:tcBorders>
                    <w:top w:val="single" w:sz="6" w:space="0" w:color="auto"/>
                    <w:left w:val="single" w:sz="12" w:space="0" w:color="auto"/>
                    <w:bottom w:val="single" w:sz="6" w:space="0" w:color="auto"/>
                    <w:right w:val="nil"/>
                  </w:tcBorders>
                  <w:shd w:val="solid" w:color="FFFFFF" w:fill="auto"/>
                  <w:hideMark/>
                </w:tcPr>
                <w:p w:rsidR="007A17A6" w:rsidRDefault="007A17A6">
                  <w:pPr>
                    <w:autoSpaceDE w:val="0"/>
                    <w:autoSpaceDN w:val="0"/>
                    <w:adjustRightInd w:val="0"/>
                    <w:spacing w:line="276" w:lineRule="auto"/>
                    <w:jc w:val="right"/>
                    <w:rPr>
                      <w:rFonts w:ascii="Arial" w:hAnsi="Arial" w:cs="Arial"/>
                      <w:i/>
                      <w:iCs/>
                      <w:color w:val="000000"/>
                      <w:sz w:val="20"/>
                      <w:szCs w:val="20"/>
                      <w:lang w:eastAsia="en-US"/>
                    </w:rPr>
                  </w:pPr>
                  <w:r>
                    <w:rPr>
                      <w:rFonts w:ascii="Arial" w:hAnsi="Arial" w:cs="Arial"/>
                      <w:i/>
                      <w:iCs/>
                      <w:color w:val="000000"/>
                      <w:sz w:val="20"/>
                      <w:szCs w:val="20"/>
                      <w:lang w:eastAsia="en-US"/>
                    </w:rPr>
                    <w:t>2,7</w:t>
                  </w:r>
                </w:p>
              </w:tc>
              <w:tc>
                <w:tcPr>
                  <w:tcW w:w="992" w:type="dxa"/>
                  <w:tcBorders>
                    <w:top w:val="single" w:sz="6" w:space="0" w:color="auto"/>
                    <w:left w:val="single" w:sz="6" w:space="0" w:color="auto"/>
                    <w:bottom w:val="single" w:sz="6" w:space="0" w:color="auto"/>
                    <w:right w:val="single" w:sz="12" w:space="0" w:color="auto"/>
                  </w:tcBorders>
                  <w:shd w:val="solid" w:color="FFFFFF" w:fill="auto"/>
                  <w:hideMark/>
                </w:tcPr>
                <w:p w:rsidR="007A17A6" w:rsidRDefault="007A17A6">
                  <w:pPr>
                    <w:autoSpaceDE w:val="0"/>
                    <w:autoSpaceDN w:val="0"/>
                    <w:adjustRightInd w:val="0"/>
                    <w:spacing w:line="276" w:lineRule="auto"/>
                    <w:jc w:val="right"/>
                    <w:rPr>
                      <w:rFonts w:ascii="Arial" w:hAnsi="Arial" w:cs="Arial"/>
                      <w:i/>
                      <w:iCs/>
                      <w:color w:val="000000"/>
                      <w:sz w:val="20"/>
                      <w:szCs w:val="20"/>
                      <w:lang w:eastAsia="en-US"/>
                    </w:rPr>
                  </w:pPr>
                  <w:r>
                    <w:rPr>
                      <w:rFonts w:ascii="Arial" w:hAnsi="Arial" w:cs="Arial"/>
                      <w:i/>
                      <w:iCs/>
                      <w:color w:val="000000"/>
                      <w:sz w:val="20"/>
                      <w:szCs w:val="20"/>
                      <w:lang w:eastAsia="en-US"/>
                    </w:rPr>
                    <w:t>2,9</w:t>
                  </w:r>
                </w:p>
              </w:tc>
            </w:tr>
            <w:tr w:rsidR="007A17A6">
              <w:trPr>
                <w:trHeight w:val="230"/>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1 06 00000 00 0000 000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Налоги на имущество</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628,0</w:t>
                  </w:r>
                </w:p>
              </w:tc>
              <w:tc>
                <w:tcPr>
                  <w:tcW w:w="1276" w:type="dxa"/>
                  <w:tcBorders>
                    <w:top w:val="single" w:sz="6" w:space="0" w:color="auto"/>
                    <w:left w:val="single" w:sz="12"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628,0</w:t>
                  </w:r>
                </w:p>
              </w:tc>
              <w:tc>
                <w:tcPr>
                  <w:tcW w:w="992" w:type="dxa"/>
                  <w:tcBorders>
                    <w:top w:val="single" w:sz="6" w:space="0" w:color="auto"/>
                    <w:left w:val="single" w:sz="6" w:space="0" w:color="auto"/>
                    <w:bottom w:val="single" w:sz="6"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628,0</w:t>
                  </w:r>
                </w:p>
              </w:tc>
            </w:tr>
            <w:tr w:rsidR="007A17A6">
              <w:trPr>
                <w:trHeight w:val="230"/>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1 06 01000 00 0000 110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Налог на имущество физических лиц</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9,0</w:t>
                  </w:r>
                </w:p>
              </w:tc>
              <w:tc>
                <w:tcPr>
                  <w:tcW w:w="1276" w:type="dxa"/>
                  <w:tcBorders>
                    <w:top w:val="single" w:sz="6" w:space="0" w:color="auto"/>
                    <w:left w:val="single" w:sz="12"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9,0</w:t>
                  </w:r>
                </w:p>
              </w:tc>
              <w:tc>
                <w:tcPr>
                  <w:tcW w:w="992" w:type="dxa"/>
                  <w:tcBorders>
                    <w:top w:val="single" w:sz="6" w:space="0" w:color="auto"/>
                    <w:left w:val="single" w:sz="6" w:space="0" w:color="auto"/>
                    <w:bottom w:val="single" w:sz="6"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9,0</w:t>
                  </w:r>
                </w:p>
              </w:tc>
            </w:tr>
            <w:tr w:rsidR="007A17A6">
              <w:trPr>
                <w:trHeight w:val="677"/>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1 06 01030 10 0000 110</w:t>
                  </w:r>
                </w:p>
              </w:tc>
              <w:tc>
                <w:tcPr>
                  <w:tcW w:w="4395" w:type="dxa"/>
                  <w:tcBorders>
                    <w:top w:val="single" w:sz="12" w:space="0" w:color="auto"/>
                    <w:left w:val="single" w:sz="12" w:space="0" w:color="auto"/>
                    <w:bottom w:val="single" w:sz="12" w:space="0" w:color="auto"/>
                    <w:right w:val="single" w:sz="12" w:space="0" w:color="auto"/>
                  </w:tcBorders>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6" w:space="0" w:color="auto"/>
                    <w:left w:val="single" w:sz="6" w:space="0" w:color="auto"/>
                    <w:bottom w:val="single" w:sz="6" w:space="0" w:color="auto"/>
                    <w:right w:val="nil"/>
                  </w:tcBorders>
                  <w:shd w:val="solid" w:color="FFFFFF" w:fill="auto"/>
                  <w:hideMark/>
                </w:tcPr>
                <w:p w:rsidR="007A17A6" w:rsidRDefault="007A17A6">
                  <w:pPr>
                    <w:autoSpaceDE w:val="0"/>
                    <w:autoSpaceDN w:val="0"/>
                    <w:adjustRightInd w:val="0"/>
                    <w:spacing w:line="276" w:lineRule="auto"/>
                    <w:jc w:val="right"/>
                    <w:rPr>
                      <w:rFonts w:ascii="Arial" w:hAnsi="Arial" w:cs="Arial"/>
                      <w:i/>
                      <w:iCs/>
                      <w:color w:val="000000"/>
                      <w:sz w:val="18"/>
                      <w:szCs w:val="18"/>
                      <w:lang w:eastAsia="en-US"/>
                    </w:rPr>
                  </w:pPr>
                  <w:r>
                    <w:rPr>
                      <w:rFonts w:ascii="Arial" w:hAnsi="Arial" w:cs="Arial"/>
                      <w:i/>
                      <w:iCs/>
                      <w:color w:val="000000"/>
                      <w:sz w:val="18"/>
                      <w:szCs w:val="18"/>
                      <w:lang w:eastAsia="en-US"/>
                    </w:rPr>
                    <w:t>9,0</w:t>
                  </w:r>
                </w:p>
              </w:tc>
              <w:tc>
                <w:tcPr>
                  <w:tcW w:w="1276" w:type="dxa"/>
                  <w:tcBorders>
                    <w:top w:val="single" w:sz="6" w:space="0" w:color="auto"/>
                    <w:left w:val="single" w:sz="12" w:space="0" w:color="auto"/>
                    <w:bottom w:val="single" w:sz="6" w:space="0" w:color="auto"/>
                    <w:right w:val="nil"/>
                  </w:tcBorders>
                  <w:shd w:val="solid" w:color="FFFFFF" w:fill="auto"/>
                  <w:hideMark/>
                </w:tcPr>
                <w:p w:rsidR="007A17A6" w:rsidRDefault="007A17A6">
                  <w:pPr>
                    <w:autoSpaceDE w:val="0"/>
                    <w:autoSpaceDN w:val="0"/>
                    <w:adjustRightInd w:val="0"/>
                    <w:spacing w:line="276" w:lineRule="auto"/>
                    <w:jc w:val="right"/>
                    <w:rPr>
                      <w:rFonts w:ascii="Arial" w:hAnsi="Arial" w:cs="Arial"/>
                      <w:i/>
                      <w:iCs/>
                      <w:color w:val="000000"/>
                      <w:sz w:val="18"/>
                      <w:szCs w:val="18"/>
                      <w:lang w:eastAsia="en-US"/>
                    </w:rPr>
                  </w:pPr>
                  <w:r>
                    <w:rPr>
                      <w:rFonts w:ascii="Arial" w:hAnsi="Arial" w:cs="Arial"/>
                      <w:i/>
                      <w:iCs/>
                      <w:color w:val="000000"/>
                      <w:sz w:val="18"/>
                      <w:szCs w:val="18"/>
                      <w:lang w:eastAsia="en-US"/>
                    </w:rPr>
                    <w:t>9,0</w:t>
                  </w:r>
                </w:p>
              </w:tc>
              <w:tc>
                <w:tcPr>
                  <w:tcW w:w="992" w:type="dxa"/>
                  <w:tcBorders>
                    <w:top w:val="single" w:sz="6" w:space="0" w:color="auto"/>
                    <w:left w:val="single" w:sz="6" w:space="0" w:color="auto"/>
                    <w:bottom w:val="single" w:sz="6" w:space="0" w:color="auto"/>
                    <w:right w:val="single" w:sz="12" w:space="0" w:color="auto"/>
                  </w:tcBorders>
                  <w:shd w:val="solid" w:color="FFFFFF" w:fill="auto"/>
                  <w:hideMark/>
                </w:tcPr>
                <w:p w:rsidR="007A17A6" w:rsidRDefault="007A17A6">
                  <w:pPr>
                    <w:autoSpaceDE w:val="0"/>
                    <w:autoSpaceDN w:val="0"/>
                    <w:adjustRightInd w:val="0"/>
                    <w:spacing w:line="276" w:lineRule="auto"/>
                    <w:jc w:val="right"/>
                    <w:rPr>
                      <w:rFonts w:ascii="Arial" w:hAnsi="Arial" w:cs="Arial"/>
                      <w:i/>
                      <w:iCs/>
                      <w:color w:val="000000"/>
                      <w:sz w:val="18"/>
                      <w:szCs w:val="18"/>
                      <w:lang w:eastAsia="en-US"/>
                    </w:rPr>
                  </w:pPr>
                  <w:r>
                    <w:rPr>
                      <w:rFonts w:ascii="Arial" w:hAnsi="Arial" w:cs="Arial"/>
                      <w:i/>
                      <w:iCs/>
                      <w:color w:val="000000"/>
                      <w:sz w:val="18"/>
                      <w:szCs w:val="18"/>
                      <w:lang w:eastAsia="en-US"/>
                    </w:rPr>
                    <w:t>9,0</w:t>
                  </w:r>
                </w:p>
              </w:tc>
            </w:tr>
            <w:tr w:rsidR="007A17A6">
              <w:trPr>
                <w:trHeight w:val="230"/>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1 06 06000 00 0000 110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Земельный налог</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619,0</w:t>
                  </w:r>
                </w:p>
              </w:tc>
              <w:tc>
                <w:tcPr>
                  <w:tcW w:w="1276" w:type="dxa"/>
                  <w:tcBorders>
                    <w:top w:val="single" w:sz="6" w:space="0" w:color="auto"/>
                    <w:left w:val="single" w:sz="12"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619,0</w:t>
                  </w:r>
                </w:p>
              </w:tc>
              <w:tc>
                <w:tcPr>
                  <w:tcW w:w="992" w:type="dxa"/>
                  <w:tcBorders>
                    <w:top w:val="single" w:sz="6" w:space="0" w:color="auto"/>
                    <w:left w:val="single" w:sz="6" w:space="0" w:color="auto"/>
                    <w:bottom w:val="single" w:sz="6"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619,0</w:t>
                  </w:r>
                </w:p>
              </w:tc>
            </w:tr>
            <w:tr w:rsidR="007A17A6">
              <w:trPr>
                <w:trHeight w:val="677"/>
              </w:trPr>
              <w:tc>
                <w:tcPr>
                  <w:tcW w:w="2410" w:type="dxa"/>
                  <w:tcBorders>
                    <w:top w:val="single" w:sz="6" w:space="0" w:color="auto"/>
                    <w:left w:val="single" w:sz="6" w:space="0" w:color="auto"/>
                    <w:bottom w:val="nil"/>
                    <w:right w:val="single" w:sz="6" w:space="0" w:color="auto"/>
                  </w:tcBorders>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1 06 06033 10 0000 110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6" w:space="0" w:color="auto"/>
                    <w:left w:val="single" w:sz="6" w:space="0" w:color="auto"/>
                    <w:bottom w:val="single" w:sz="6" w:space="0" w:color="auto"/>
                    <w:right w:val="nil"/>
                  </w:tcBorders>
                  <w:shd w:val="solid" w:color="FFFFFF" w:fill="auto"/>
                  <w:hideMark/>
                </w:tcPr>
                <w:p w:rsidR="007A17A6" w:rsidRDefault="007A17A6">
                  <w:pPr>
                    <w:autoSpaceDE w:val="0"/>
                    <w:autoSpaceDN w:val="0"/>
                    <w:adjustRightInd w:val="0"/>
                    <w:spacing w:line="276" w:lineRule="auto"/>
                    <w:jc w:val="right"/>
                    <w:rPr>
                      <w:rFonts w:ascii="Arial" w:hAnsi="Arial" w:cs="Arial"/>
                      <w:i/>
                      <w:iCs/>
                      <w:color w:val="000000"/>
                      <w:sz w:val="20"/>
                      <w:szCs w:val="20"/>
                      <w:lang w:eastAsia="en-US"/>
                    </w:rPr>
                  </w:pPr>
                  <w:r>
                    <w:rPr>
                      <w:rFonts w:ascii="Arial" w:hAnsi="Arial" w:cs="Arial"/>
                      <w:i/>
                      <w:iCs/>
                      <w:color w:val="000000"/>
                      <w:sz w:val="20"/>
                      <w:szCs w:val="20"/>
                      <w:lang w:eastAsia="en-US"/>
                    </w:rPr>
                    <w:t>72,0</w:t>
                  </w:r>
                </w:p>
              </w:tc>
              <w:tc>
                <w:tcPr>
                  <w:tcW w:w="1276" w:type="dxa"/>
                  <w:tcBorders>
                    <w:top w:val="single" w:sz="6" w:space="0" w:color="auto"/>
                    <w:left w:val="single" w:sz="6" w:space="0" w:color="auto"/>
                    <w:bottom w:val="single" w:sz="6" w:space="0" w:color="auto"/>
                    <w:right w:val="nil"/>
                  </w:tcBorders>
                  <w:shd w:val="solid" w:color="FFFFFF" w:fill="auto"/>
                  <w:hideMark/>
                </w:tcPr>
                <w:p w:rsidR="007A17A6" w:rsidRDefault="007A17A6">
                  <w:pPr>
                    <w:autoSpaceDE w:val="0"/>
                    <w:autoSpaceDN w:val="0"/>
                    <w:adjustRightInd w:val="0"/>
                    <w:spacing w:line="276" w:lineRule="auto"/>
                    <w:jc w:val="right"/>
                    <w:rPr>
                      <w:rFonts w:ascii="Arial" w:hAnsi="Arial" w:cs="Arial"/>
                      <w:i/>
                      <w:iCs/>
                      <w:color w:val="000000"/>
                      <w:sz w:val="20"/>
                      <w:szCs w:val="20"/>
                      <w:lang w:eastAsia="en-US"/>
                    </w:rPr>
                  </w:pPr>
                  <w:r>
                    <w:rPr>
                      <w:rFonts w:ascii="Arial" w:hAnsi="Arial" w:cs="Arial"/>
                      <w:i/>
                      <w:iCs/>
                      <w:color w:val="000000"/>
                      <w:sz w:val="20"/>
                      <w:szCs w:val="20"/>
                      <w:lang w:eastAsia="en-US"/>
                    </w:rPr>
                    <w:t>72,0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7A17A6" w:rsidRDefault="007A17A6">
                  <w:pPr>
                    <w:autoSpaceDE w:val="0"/>
                    <w:autoSpaceDN w:val="0"/>
                    <w:adjustRightInd w:val="0"/>
                    <w:spacing w:line="276" w:lineRule="auto"/>
                    <w:jc w:val="right"/>
                    <w:rPr>
                      <w:rFonts w:ascii="Arial" w:hAnsi="Arial" w:cs="Arial"/>
                      <w:i/>
                      <w:iCs/>
                      <w:color w:val="000000"/>
                      <w:sz w:val="20"/>
                      <w:szCs w:val="20"/>
                      <w:lang w:eastAsia="en-US"/>
                    </w:rPr>
                  </w:pPr>
                  <w:r>
                    <w:rPr>
                      <w:rFonts w:ascii="Arial" w:hAnsi="Arial" w:cs="Arial"/>
                      <w:i/>
                      <w:iCs/>
                      <w:color w:val="000000"/>
                      <w:sz w:val="20"/>
                      <w:szCs w:val="20"/>
                      <w:lang w:eastAsia="en-US"/>
                    </w:rPr>
                    <w:t>72,0</w:t>
                  </w:r>
                </w:p>
              </w:tc>
            </w:tr>
            <w:tr w:rsidR="007A17A6">
              <w:trPr>
                <w:trHeight w:val="564"/>
              </w:trPr>
              <w:tc>
                <w:tcPr>
                  <w:tcW w:w="2410"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1 06 06043 10 0000 110</w:t>
                  </w:r>
                </w:p>
              </w:tc>
              <w:tc>
                <w:tcPr>
                  <w:tcW w:w="4395" w:type="dxa"/>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Земельный налог с организаций, обладающих земельным участком, расположенным в границах сельских  поселений</w:t>
                  </w:r>
                </w:p>
              </w:tc>
              <w:tc>
                <w:tcPr>
                  <w:tcW w:w="1275" w:type="dxa"/>
                  <w:tcBorders>
                    <w:top w:val="single" w:sz="6" w:space="0" w:color="auto"/>
                    <w:left w:val="single" w:sz="6" w:space="0" w:color="auto"/>
                    <w:bottom w:val="single" w:sz="6" w:space="0" w:color="auto"/>
                    <w:right w:val="nil"/>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547,0</w:t>
                  </w:r>
                </w:p>
              </w:tc>
              <w:tc>
                <w:tcPr>
                  <w:tcW w:w="1276" w:type="dxa"/>
                  <w:tcBorders>
                    <w:top w:val="single" w:sz="6" w:space="0" w:color="auto"/>
                    <w:left w:val="single" w:sz="6" w:space="0" w:color="auto"/>
                    <w:bottom w:val="single" w:sz="6" w:space="0" w:color="auto"/>
                    <w:right w:val="nil"/>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547,0</w:t>
                  </w:r>
                </w:p>
              </w:tc>
              <w:tc>
                <w:tcPr>
                  <w:tcW w:w="992"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547,0</w:t>
                  </w:r>
                </w:p>
              </w:tc>
            </w:tr>
            <w:tr w:rsidR="007A17A6">
              <w:trPr>
                <w:trHeight w:val="178"/>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2 00 00000 00 0000 000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 xml:space="preserve">Безвозмездные поступления </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2 274,9</w:t>
                  </w:r>
                </w:p>
              </w:tc>
              <w:tc>
                <w:tcPr>
                  <w:tcW w:w="1276" w:type="dxa"/>
                  <w:tcBorders>
                    <w:top w:val="single" w:sz="6" w:space="0" w:color="auto"/>
                    <w:left w:val="single" w:sz="12"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2 163,4</w:t>
                  </w:r>
                </w:p>
              </w:tc>
              <w:tc>
                <w:tcPr>
                  <w:tcW w:w="992" w:type="dxa"/>
                  <w:tcBorders>
                    <w:top w:val="single" w:sz="6" w:space="0" w:color="auto"/>
                    <w:left w:val="single" w:sz="6" w:space="0" w:color="auto"/>
                    <w:bottom w:val="single" w:sz="6"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2 149,8</w:t>
                  </w:r>
                </w:p>
              </w:tc>
            </w:tr>
            <w:tr w:rsidR="007A17A6">
              <w:trPr>
                <w:trHeight w:val="533"/>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2 02 00000 00 0000 000</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Безвозмездные поступления от других бюджетов бюджетной системы Российской Федерации</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2 274,9</w:t>
                  </w:r>
                </w:p>
              </w:tc>
              <w:tc>
                <w:tcPr>
                  <w:tcW w:w="1276" w:type="dxa"/>
                  <w:tcBorders>
                    <w:top w:val="single" w:sz="6" w:space="0" w:color="auto"/>
                    <w:left w:val="single" w:sz="12"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2 163,4</w:t>
                  </w:r>
                </w:p>
              </w:tc>
              <w:tc>
                <w:tcPr>
                  <w:tcW w:w="992" w:type="dxa"/>
                  <w:tcBorders>
                    <w:top w:val="single" w:sz="6" w:space="0" w:color="auto"/>
                    <w:left w:val="single" w:sz="6" w:space="0" w:color="auto"/>
                    <w:bottom w:val="single" w:sz="6"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2 149,8</w:t>
                  </w:r>
                </w:p>
              </w:tc>
            </w:tr>
            <w:tr w:rsidR="007A17A6">
              <w:trPr>
                <w:trHeight w:val="576"/>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2 02 10000 00 0000 151</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 xml:space="preserve">Дотации бюджетам бюджетной системы Российской Федерации </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i/>
                      <w:iCs/>
                      <w:color w:val="000000"/>
                      <w:sz w:val="20"/>
                      <w:szCs w:val="20"/>
                      <w:lang w:eastAsia="en-US"/>
                    </w:rPr>
                  </w:pPr>
                  <w:r>
                    <w:rPr>
                      <w:rFonts w:ascii="Arial" w:hAnsi="Arial" w:cs="Arial"/>
                      <w:i/>
                      <w:iCs/>
                      <w:color w:val="000000"/>
                      <w:sz w:val="20"/>
                      <w:szCs w:val="20"/>
                      <w:lang w:eastAsia="en-US"/>
                    </w:rPr>
                    <w:t>2 185,0</w:t>
                  </w:r>
                </w:p>
              </w:tc>
              <w:tc>
                <w:tcPr>
                  <w:tcW w:w="1276" w:type="dxa"/>
                  <w:tcBorders>
                    <w:top w:val="single" w:sz="6" w:space="0" w:color="auto"/>
                    <w:left w:val="single" w:sz="12"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i/>
                      <w:iCs/>
                      <w:color w:val="000000"/>
                      <w:sz w:val="20"/>
                      <w:szCs w:val="20"/>
                      <w:lang w:eastAsia="en-US"/>
                    </w:rPr>
                  </w:pPr>
                  <w:r>
                    <w:rPr>
                      <w:rFonts w:ascii="Arial" w:hAnsi="Arial" w:cs="Arial"/>
                      <w:i/>
                      <w:iCs/>
                      <w:color w:val="000000"/>
                      <w:sz w:val="20"/>
                      <w:szCs w:val="20"/>
                      <w:lang w:eastAsia="en-US"/>
                    </w:rPr>
                    <w:t>2 073,5</w:t>
                  </w:r>
                </w:p>
              </w:tc>
              <w:tc>
                <w:tcPr>
                  <w:tcW w:w="992" w:type="dxa"/>
                  <w:tcBorders>
                    <w:top w:val="single" w:sz="6" w:space="0" w:color="auto"/>
                    <w:left w:val="single" w:sz="6" w:space="0" w:color="auto"/>
                    <w:bottom w:val="single" w:sz="6"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i/>
                      <w:iCs/>
                      <w:color w:val="000000"/>
                      <w:sz w:val="20"/>
                      <w:szCs w:val="20"/>
                      <w:lang w:eastAsia="en-US"/>
                    </w:rPr>
                  </w:pPr>
                  <w:r>
                    <w:rPr>
                      <w:rFonts w:ascii="Arial" w:hAnsi="Arial" w:cs="Arial"/>
                      <w:i/>
                      <w:iCs/>
                      <w:color w:val="000000"/>
                      <w:sz w:val="20"/>
                      <w:szCs w:val="20"/>
                      <w:lang w:eastAsia="en-US"/>
                    </w:rPr>
                    <w:t>2 059,9</w:t>
                  </w:r>
                </w:p>
              </w:tc>
            </w:tr>
            <w:tr w:rsidR="007A17A6">
              <w:trPr>
                <w:trHeight w:val="353"/>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2 02 15001 00 0000 151</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Дотации на выравнивание бюджетной обеспеченности</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2 185,0</w:t>
                  </w:r>
                </w:p>
              </w:tc>
              <w:tc>
                <w:tcPr>
                  <w:tcW w:w="1276" w:type="dxa"/>
                  <w:tcBorders>
                    <w:top w:val="single" w:sz="6" w:space="0" w:color="auto"/>
                    <w:left w:val="single" w:sz="12"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2 073,5</w:t>
                  </w:r>
                </w:p>
              </w:tc>
              <w:tc>
                <w:tcPr>
                  <w:tcW w:w="992" w:type="dxa"/>
                  <w:tcBorders>
                    <w:top w:val="single" w:sz="6" w:space="0" w:color="auto"/>
                    <w:left w:val="single" w:sz="6" w:space="0" w:color="auto"/>
                    <w:bottom w:val="single" w:sz="6"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b/>
                      <w:i/>
                      <w:iCs/>
                      <w:color w:val="000000"/>
                      <w:sz w:val="20"/>
                      <w:szCs w:val="20"/>
                      <w:lang w:eastAsia="en-US"/>
                    </w:rPr>
                  </w:pPr>
                  <w:r>
                    <w:rPr>
                      <w:rFonts w:ascii="Arial" w:hAnsi="Arial" w:cs="Arial"/>
                      <w:b/>
                      <w:bCs w:val="0"/>
                      <w:i/>
                      <w:iCs/>
                      <w:color w:val="000000"/>
                      <w:sz w:val="20"/>
                      <w:szCs w:val="20"/>
                      <w:lang w:eastAsia="en-US"/>
                    </w:rPr>
                    <w:t>2 059,9</w:t>
                  </w:r>
                </w:p>
              </w:tc>
            </w:tr>
            <w:tr w:rsidR="007A17A6">
              <w:trPr>
                <w:trHeight w:val="355"/>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2 02 15001 10 0000 151</w:t>
                  </w:r>
                </w:p>
              </w:tc>
              <w:tc>
                <w:tcPr>
                  <w:tcW w:w="4395" w:type="dxa"/>
                  <w:hideMark/>
                </w:tcPr>
                <w:p w:rsidR="007A17A6" w:rsidRDefault="007A17A6">
                  <w:pPr>
                    <w:autoSpaceDE w:val="0"/>
                    <w:autoSpaceDN w:val="0"/>
                    <w:adjustRightInd w:val="0"/>
                    <w:spacing w:line="276" w:lineRule="auto"/>
                    <w:rPr>
                      <w:rFonts w:ascii="Arial" w:hAnsi="Arial" w:cs="Arial"/>
                      <w:color w:val="000000"/>
                      <w:sz w:val="20"/>
                      <w:szCs w:val="20"/>
                      <w:lang w:eastAsia="en-US"/>
                    </w:rPr>
                  </w:pPr>
                  <w:r>
                    <w:rPr>
                      <w:rFonts w:ascii="Arial" w:hAnsi="Arial" w:cs="Arial"/>
                      <w:color w:val="000000"/>
                      <w:sz w:val="20"/>
                      <w:szCs w:val="20"/>
                      <w:lang w:eastAsia="en-US"/>
                    </w:rPr>
                    <w:t>Дотации бюджетам сельских поселений на выравнивание бюджетной обеспеченности</w:t>
                  </w:r>
                </w:p>
              </w:tc>
              <w:tc>
                <w:tcPr>
                  <w:tcW w:w="1275" w:type="dxa"/>
                  <w:tcBorders>
                    <w:top w:val="single" w:sz="6" w:space="0" w:color="auto"/>
                    <w:left w:val="single" w:sz="6" w:space="0" w:color="auto"/>
                    <w:bottom w:val="single" w:sz="6" w:space="0" w:color="auto"/>
                    <w:right w:val="nil"/>
                  </w:tcBorders>
                  <w:shd w:val="solid" w:color="CCFFFF" w:fill="auto"/>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2 185,0</w:t>
                  </w:r>
                </w:p>
              </w:tc>
              <w:tc>
                <w:tcPr>
                  <w:tcW w:w="1276" w:type="dxa"/>
                  <w:tcBorders>
                    <w:top w:val="single" w:sz="6" w:space="0" w:color="auto"/>
                    <w:left w:val="single" w:sz="12" w:space="0" w:color="auto"/>
                    <w:bottom w:val="single" w:sz="6" w:space="0" w:color="auto"/>
                    <w:right w:val="nil"/>
                  </w:tcBorders>
                  <w:shd w:val="solid" w:color="CCFFFF" w:fill="auto"/>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2 073,5</w:t>
                  </w:r>
                </w:p>
              </w:tc>
              <w:tc>
                <w:tcPr>
                  <w:tcW w:w="992" w:type="dxa"/>
                  <w:tcBorders>
                    <w:top w:val="single" w:sz="6" w:space="0" w:color="auto"/>
                    <w:left w:val="single" w:sz="6" w:space="0" w:color="auto"/>
                    <w:bottom w:val="single" w:sz="6" w:space="0" w:color="auto"/>
                    <w:right w:val="single" w:sz="12" w:space="0" w:color="auto"/>
                  </w:tcBorders>
                  <w:shd w:val="solid" w:color="CCFFFF" w:fill="auto"/>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2 059,9</w:t>
                  </w:r>
                </w:p>
              </w:tc>
            </w:tr>
            <w:tr w:rsidR="007A17A6">
              <w:trPr>
                <w:trHeight w:val="355"/>
              </w:trPr>
              <w:tc>
                <w:tcPr>
                  <w:tcW w:w="2410" w:type="dxa"/>
                  <w:tcBorders>
                    <w:top w:val="single" w:sz="6" w:space="0" w:color="auto"/>
                    <w:left w:val="single" w:sz="12"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2 02 30000 00 0000 151</w:t>
                  </w:r>
                </w:p>
              </w:tc>
              <w:tc>
                <w:tcPr>
                  <w:tcW w:w="4395"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 xml:space="preserve">Субвенции бюджетам бюджетной системы Российской Федерации </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i/>
                      <w:iCs/>
                      <w:color w:val="000000"/>
                      <w:sz w:val="20"/>
                      <w:szCs w:val="20"/>
                      <w:lang w:eastAsia="en-US"/>
                    </w:rPr>
                  </w:pPr>
                  <w:r>
                    <w:rPr>
                      <w:rFonts w:ascii="Arial" w:hAnsi="Arial" w:cs="Arial"/>
                      <w:i/>
                      <w:iCs/>
                      <w:color w:val="000000"/>
                      <w:sz w:val="20"/>
                      <w:szCs w:val="20"/>
                      <w:lang w:eastAsia="en-US"/>
                    </w:rPr>
                    <w:t>89,9</w:t>
                  </w:r>
                </w:p>
              </w:tc>
              <w:tc>
                <w:tcPr>
                  <w:tcW w:w="1276"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i/>
                      <w:iCs/>
                      <w:color w:val="000000"/>
                      <w:sz w:val="20"/>
                      <w:szCs w:val="20"/>
                      <w:lang w:eastAsia="en-US"/>
                    </w:rPr>
                  </w:pPr>
                  <w:r>
                    <w:rPr>
                      <w:rFonts w:ascii="Arial" w:hAnsi="Arial" w:cs="Arial"/>
                      <w:i/>
                      <w:iCs/>
                      <w:color w:val="000000"/>
                      <w:sz w:val="20"/>
                      <w:szCs w:val="20"/>
                      <w:lang w:eastAsia="en-US"/>
                    </w:rPr>
                    <w:t>89,9</w:t>
                  </w:r>
                </w:p>
              </w:tc>
              <w:tc>
                <w:tcPr>
                  <w:tcW w:w="992"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i/>
                      <w:iCs/>
                      <w:color w:val="000000"/>
                      <w:sz w:val="20"/>
                      <w:szCs w:val="20"/>
                      <w:lang w:eastAsia="en-US"/>
                    </w:rPr>
                  </w:pPr>
                  <w:r>
                    <w:rPr>
                      <w:rFonts w:ascii="Arial" w:hAnsi="Arial" w:cs="Arial"/>
                      <w:i/>
                      <w:iCs/>
                      <w:color w:val="000000"/>
                      <w:sz w:val="20"/>
                      <w:szCs w:val="20"/>
                      <w:lang w:eastAsia="en-US"/>
                    </w:rPr>
                    <w:t>89,9</w:t>
                  </w:r>
                </w:p>
              </w:tc>
            </w:tr>
            <w:tr w:rsidR="007A17A6">
              <w:trPr>
                <w:trHeight w:val="526"/>
              </w:trPr>
              <w:tc>
                <w:tcPr>
                  <w:tcW w:w="2410" w:type="dxa"/>
                  <w:tcBorders>
                    <w:top w:val="single" w:sz="6" w:space="0" w:color="auto"/>
                    <w:left w:val="single" w:sz="12" w:space="0" w:color="auto"/>
                    <w:bottom w:val="nil"/>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18"/>
                      <w:szCs w:val="18"/>
                      <w:lang w:eastAsia="en-US"/>
                    </w:rPr>
                  </w:pPr>
                  <w:r>
                    <w:rPr>
                      <w:rFonts w:ascii="Arial" w:hAnsi="Arial" w:cs="Arial"/>
                      <w:b/>
                      <w:bCs w:val="0"/>
                      <w:color w:val="000000"/>
                      <w:sz w:val="18"/>
                      <w:szCs w:val="18"/>
                      <w:lang w:eastAsia="en-US"/>
                    </w:rPr>
                    <w:t>2 02 35118 00 0000 151</w:t>
                  </w:r>
                </w:p>
              </w:tc>
              <w:tc>
                <w:tcPr>
                  <w:tcW w:w="4395" w:type="dxa"/>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single" w:sz="6" w:space="0" w:color="auto"/>
                    <w:left w:val="single" w:sz="6"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89,9</w:t>
                  </w:r>
                </w:p>
              </w:tc>
              <w:tc>
                <w:tcPr>
                  <w:tcW w:w="1276" w:type="dxa"/>
                  <w:tcBorders>
                    <w:top w:val="single" w:sz="6" w:space="0" w:color="auto"/>
                    <w:left w:val="single" w:sz="12" w:space="0" w:color="auto"/>
                    <w:bottom w:val="single" w:sz="6"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89,9</w:t>
                  </w:r>
                </w:p>
              </w:tc>
              <w:tc>
                <w:tcPr>
                  <w:tcW w:w="992" w:type="dxa"/>
                  <w:tcBorders>
                    <w:top w:val="single" w:sz="6" w:space="0" w:color="auto"/>
                    <w:left w:val="single" w:sz="6" w:space="0" w:color="auto"/>
                    <w:bottom w:val="single" w:sz="6"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89,9</w:t>
                  </w:r>
                </w:p>
              </w:tc>
            </w:tr>
            <w:tr w:rsidR="007A17A6">
              <w:trPr>
                <w:trHeight w:val="713"/>
              </w:trPr>
              <w:tc>
                <w:tcPr>
                  <w:tcW w:w="2410" w:type="dxa"/>
                  <w:tcBorders>
                    <w:top w:val="single" w:sz="6" w:space="0" w:color="auto"/>
                    <w:left w:val="single" w:sz="6" w:space="0" w:color="auto"/>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2 02 35118 10 0000 151</w:t>
                  </w:r>
                </w:p>
              </w:tc>
              <w:tc>
                <w:tcPr>
                  <w:tcW w:w="4395" w:type="dxa"/>
                  <w:tcBorders>
                    <w:top w:val="single" w:sz="6" w:space="0" w:color="auto"/>
                    <w:left w:val="nil"/>
                    <w:bottom w:val="single" w:sz="6" w:space="0" w:color="auto"/>
                    <w:right w:val="single" w:sz="6" w:space="0" w:color="auto"/>
                  </w:tcBorders>
                  <w:hideMark/>
                </w:tcPr>
                <w:p w:rsidR="007A17A6" w:rsidRDefault="007A17A6">
                  <w:pPr>
                    <w:autoSpaceDE w:val="0"/>
                    <w:autoSpaceDN w:val="0"/>
                    <w:adjustRightInd w:val="0"/>
                    <w:spacing w:line="276" w:lineRule="auto"/>
                    <w:rPr>
                      <w:rFonts w:ascii="Arial" w:hAnsi="Arial" w:cs="Arial"/>
                      <w:color w:val="000000"/>
                      <w:sz w:val="20"/>
                      <w:szCs w:val="20"/>
                      <w:lang w:eastAsia="en-US"/>
                    </w:rPr>
                  </w:pPr>
                  <w:r>
                    <w:rPr>
                      <w:rFonts w:ascii="Arial" w:hAnsi="Arial" w:cs="Arial"/>
                      <w:color w:val="000000"/>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6" w:space="0" w:color="auto"/>
                    <w:left w:val="single" w:sz="6" w:space="0" w:color="auto"/>
                    <w:bottom w:val="single" w:sz="6" w:space="0" w:color="auto"/>
                    <w:right w:val="single" w:sz="6"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89,9</w:t>
                  </w:r>
                </w:p>
              </w:tc>
              <w:tc>
                <w:tcPr>
                  <w:tcW w:w="1276" w:type="dxa"/>
                  <w:tcBorders>
                    <w:top w:val="single" w:sz="6" w:space="0" w:color="auto"/>
                    <w:left w:val="single" w:sz="6" w:space="0" w:color="auto"/>
                    <w:bottom w:val="single" w:sz="6" w:space="0" w:color="auto"/>
                    <w:right w:val="single" w:sz="6"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89,9</w:t>
                  </w:r>
                </w:p>
              </w:tc>
              <w:tc>
                <w:tcPr>
                  <w:tcW w:w="992" w:type="dxa"/>
                  <w:tcBorders>
                    <w:top w:val="single" w:sz="6" w:space="0" w:color="auto"/>
                    <w:left w:val="single" w:sz="6" w:space="0" w:color="auto"/>
                    <w:bottom w:val="single" w:sz="4" w:space="0" w:color="auto"/>
                    <w:right w:val="single" w:sz="4"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89,9</w:t>
                  </w:r>
                </w:p>
              </w:tc>
            </w:tr>
            <w:tr w:rsidR="007A17A6">
              <w:trPr>
                <w:trHeight w:val="252"/>
              </w:trPr>
              <w:tc>
                <w:tcPr>
                  <w:tcW w:w="2410" w:type="dxa"/>
                  <w:tcBorders>
                    <w:top w:val="nil"/>
                    <w:left w:val="single" w:sz="12" w:space="0" w:color="auto"/>
                    <w:bottom w:val="single" w:sz="12" w:space="0" w:color="auto"/>
                    <w:right w:val="single" w:sz="6" w:space="0" w:color="auto"/>
                  </w:tcBorders>
                  <w:hideMark/>
                </w:tcPr>
                <w:p w:rsidR="007A17A6" w:rsidRDefault="007A17A6">
                  <w:pPr>
                    <w:autoSpaceDE w:val="0"/>
                    <w:autoSpaceDN w:val="0"/>
                    <w:adjustRightInd w:val="0"/>
                    <w:spacing w:line="276" w:lineRule="auto"/>
                    <w:rPr>
                      <w:rFonts w:ascii="Arial" w:hAnsi="Arial" w:cs="Arial"/>
                      <w:b/>
                      <w:color w:val="000000"/>
                      <w:sz w:val="20"/>
                      <w:szCs w:val="20"/>
                      <w:lang w:eastAsia="en-US"/>
                    </w:rPr>
                  </w:pPr>
                  <w:r>
                    <w:rPr>
                      <w:rFonts w:ascii="Arial" w:hAnsi="Arial" w:cs="Arial"/>
                      <w:b/>
                      <w:bCs w:val="0"/>
                      <w:color w:val="000000"/>
                      <w:sz w:val="20"/>
                      <w:szCs w:val="20"/>
                      <w:lang w:eastAsia="en-US"/>
                    </w:rPr>
                    <w:t>Итого доходов</w:t>
                  </w:r>
                </w:p>
              </w:tc>
              <w:tc>
                <w:tcPr>
                  <w:tcW w:w="4395" w:type="dxa"/>
                  <w:tcBorders>
                    <w:top w:val="nil"/>
                    <w:left w:val="single" w:sz="6" w:space="0" w:color="auto"/>
                    <w:bottom w:val="single" w:sz="12" w:space="0" w:color="auto"/>
                    <w:right w:val="single" w:sz="6" w:space="0" w:color="auto"/>
                  </w:tcBorders>
                </w:tcPr>
                <w:p w:rsidR="007A17A6" w:rsidRDefault="007A17A6">
                  <w:pPr>
                    <w:autoSpaceDE w:val="0"/>
                    <w:autoSpaceDN w:val="0"/>
                    <w:adjustRightInd w:val="0"/>
                    <w:spacing w:line="276" w:lineRule="auto"/>
                    <w:jc w:val="right"/>
                    <w:rPr>
                      <w:rFonts w:ascii="Arial" w:hAnsi="Arial" w:cs="Arial"/>
                      <w:b/>
                      <w:color w:val="000000"/>
                      <w:sz w:val="20"/>
                      <w:szCs w:val="20"/>
                      <w:lang w:eastAsia="en-US"/>
                    </w:rPr>
                  </w:pPr>
                </w:p>
              </w:tc>
              <w:tc>
                <w:tcPr>
                  <w:tcW w:w="1275" w:type="dxa"/>
                  <w:tcBorders>
                    <w:top w:val="nil"/>
                    <w:left w:val="single" w:sz="6" w:space="0" w:color="auto"/>
                    <w:bottom w:val="single" w:sz="12"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color w:val="000000"/>
                      <w:sz w:val="18"/>
                      <w:szCs w:val="18"/>
                      <w:lang w:eastAsia="en-US"/>
                    </w:rPr>
                  </w:pPr>
                  <w:r>
                    <w:rPr>
                      <w:rFonts w:ascii="Arial" w:hAnsi="Arial" w:cs="Arial"/>
                      <w:b/>
                      <w:bCs w:val="0"/>
                      <w:color w:val="000000"/>
                      <w:sz w:val="18"/>
                      <w:szCs w:val="18"/>
                      <w:lang w:eastAsia="en-US"/>
                    </w:rPr>
                    <w:t>3 246,70</w:t>
                  </w:r>
                </w:p>
              </w:tc>
              <w:tc>
                <w:tcPr>
                  <w:tcW w:w="1276" w:type="dxa"/>
                  <w:tcBorders>
                    <w:top w:val="nil"/>
                    <w:left w:val="single" w:sz="12" w:space="0" w:color="auto"/>
                    <w:bottom w:val="single" w:sz="12" w:space="0" w:color="auto"/>
                    <w:right w:val="nil"/>
                  </w:tcBorders>
                  <w:shd w:val="solid" w:color="99CCFF" w:fill="auto"/>
                  <w:hideMark/>
                </w:tcPr>
                <w:p w:rsidR="007A17A6" w:rsidRDefault="007A17A6">
                  <w:pPr>
                    <w:autoSpaceDE w:val="0"/>
                    <w:autoSpaceDN w:val="0"/>
                    <w:adjustRightInd w:val="0"/>
                    <w:spacing w:line="276" w:lineRule="auto"/>
                    <w:jc w:val="right"/>
                    <w:rPr>
                      <w:rFonts w:ascii="Arial" w:hAnsi="Arial" w:cs="Arial"/>
                      <w:b/>
                      <w:color w:val="000000"/>
                      <w:sz w:val="18"/>
                      <w:szCs w:val="18"/>
                      <w:lang w:eastAsia="en-US"/>
                    </w:rPr>
                  </w:pPr>
                  <w:r>
                    <w:rPr>
                      <w:rFonts w:ascii="Arial" w:hAnsi="Arial" w:cs="Arial"/>
                      <w:b/>
                      <w:bCs w:val="0"/>
                      <w:color w:val="000000"/>
                      <w:sz w:val="18"/>
                      <w:szCs w:val="18"/>
                      <w:lang w:eastAsia="en-US"/>
                    </w:rPr>
                    <w:t>3 194,90</w:t>
                  </w:r>
                </w:p>
              </w:tc>
              <w:tc>
                <w:tcPr>
                  <w:tcW w:w="992" w:type="dxa"/>
                  <w:tcBorders>
                    <w:top w:val="single" w:sz="4" w:space="0" w:color="auto"/>
                    <w:left w:val="single" w:sz="6" w:space="0" w:color="auto"/>
                    <w:bottom w:val="single" w:sz="12" w:space="0" w:color="auto"/>
                    <w:right w:val="single" w:sz="12" w:space="0" w:color="auto"/>
                  </w:tcBorders>
                  <w:shd w:val="solid" w:color="99CCFF" w:fill="auto"/>
                  <w:hideMark/>
                </w:tcPr>
                <w:p w:rsidR="007A17A6" w:rsidRDefault="007A17A6">
                  <w:pPr>
                    <w:autoSpaceDE w:val="0"/>
                    <w:autoSpaceDN w:val="0"/>
                    <w:adjustRightInd w:val="0"/>
                    <w:spacing w:line="276" w:lineRule="auto"/>
                    <w:jc w:val="right"/>
                    <w:rPr>
                      <w:rFonts w:ascii="Arial" w:hAnsi="Arial" w:cs="Arial"/>
                      <w:b/>
                      <w:color w:val="000000"/>
                      <w:sz w:val="18"/>
                      <w:szCs w:val="18"/>
                      <w:lang w:eastAsia="en-US"/>
                    </w:rPr>
                  </w:pPr>
                  <w:r>
                    <w:rPr>
                      <w:rFonts w:ascii="Arial" w:hAnsi="Arial" w:cs="Arial"/>
                      <w:b/>
                      <w:bCs w:val="0"/>
                      <w:color w:val="000000"/>
                      <w:sz w:val="18"/>
                      <w:szCs w:val="18"/>
                      <w:lang w:eastAsia="en-US"/>
                    </w:rPr>
                    <w:t>3 301,20</w:t>
                  </w:r>
                </w:p>
              </w:tc>
            </w:tr>
          </w:tbl>
          <w:p w:rsidR="007A17A6" w:rsidRDefault="007A17A6">
            <w:pPr>
              <w:spacing w:line="276" w:lineRule="auto"/>
              <w:rPr>
                <w:rFonts w:asciiTheme="minorHAnsi" w:eastAsiaTheme="minorHAnsi" w:hAnsiTheme="minorHAnsi" w:cstheme="minorBidi"/>
                <w:bCs w:val="0"/>
                <w:sz w:val="22"/>
                <w:szCs w:val="22"/>
                <w:lang w:eastAsia="en-US"/>
              </w:rPr>
            </w:pP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68"/>
        </w:trPr>
        <w:tc>
          <w:tcPr>
            <w:tcW w:w="2552"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c>
          <w:tcPr>
            <w:tcW w:w="4394" w:type="dxa"/>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c>
          <w:tcPr>
            <w:tcW w:w="992"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330"/>
        </w:trPr>
        <w:tc>
          <w:tcPr>
            <w:tcW w:w="2552" w:type="dxa"/>
            <w:tcBorders>
              <w:top w:val="nil"/>
              <w:left w:val="single" w:sz="8" w:space="0" w:color="auto"/>
              <w:bottom w:val="single" w:sz="8" w:space="0" w:color="auto"/>
              <w:right w:val="single" w:sz="4" w:space="0" w:color="auto"/>
            </w:tcBorders>
            <w:noWrap/>
            <w:vAlign w:val="center"/>
            <w:hideMark/>
          </w:tcPr>
          <w:p w:rsidR="007A17A6" w:rsidRDefault="007A17A6">
            <w:pPr>
              <w:spacing w:line="276" w:lineRule="auto"/>
              <w:jc w:val="both"/>
              <w:rPr>
                <w:b/>
                <w:sz w:val="24"/>
                <w:szCs w:val="24"/>
                <w:lang w:eastAsia="en-US"/>
              </w:rPr>
            </w:pPr>
            <w:r>
              <w:rPr>
                <w:b/>
                <w:bCs w:val="0"/>
                <w:lang w:eastAsia="en-US"/>
              </w:rPr>
              <w:t> </w:t>
            </w:r>
          </w:p>
        </w:tc>
        <w:tc>
          <w:tcPr>
            <w:tcW w:w="4394" w:type="dxa"/>
            <w:tcBorders>
              <w:top w:val="single" w:sz="8" w:space="0" w:color="auto"/>
              <w:left w:val="nil"/>
              <w:bottom w:val="single" w:sz="8" w:space="0" w:color="auto"/>
              <w:right w:val="single" w:sz="4" w:space="0" w:color="auto"/>
            </w:tcBorders>
            <w:vAlign w:val="bottom"/>
            <w:hideMark/>
          </w:tcPr>
          <w:p w:rsidR="007A17A6" w:rsidRDefault="007A17A6">
            <w:pPr>
              <w:spacing w:line="276" w:lineRule="auto"/>
              <w:jc w:val="both"/>
              <w:rPr>
                <w:b/>
                <w:sz w:val="24"/>
                <w:szCs w:val="24"/>
                <w:lang w:eastAsia="en-US"/>
              </w:rPr>
            </w:pPr>
            <w:r>
              <w:rPr>
                <w:b/>
                <w:bCs w:val="0"/>
                <w:lang w:eastAsia="en-US"/>
              </w:rPr>
              <w:t>Расходы</w:t>
            </w:r>
          </w:p>
        </w:tc>
        <w:tc>
          <w:tcPr>
            <w:tcW w:w="1276" w:type="dxa"/>
            <w:tcBorders>
              <w:top w:val="single" w:sz="8" w:space="0" w:color="auto"/>
              <w:left w:val="nil"/>
              <w:bottom w:val="single" w:sz="8" w:space="0" w:color="auto"/>
              <w:right w:val="single" w:sz="4" w:space="0" w:color="auto"/>
            </w:tcBorders>
            <w:vAlign w:val="bottom"/>
            <w:hideMark/>
          </w:tcPr>
          <w:p w:rsidR="007A17A6" w:rsidRDefault="007A17A6">
            <w:pPr>
              <w:spacing w:line="276" w:lineRule="auto"/>
              <w:jc w:val="center"/>
              <w:rPr>
                <w:b/>
                <w:sz w:val="24"/>
                <w:szCs w:val="24"/>
                <w:lang w:eastAsia="en-US"/>
              </w:rPr>
            </w:pPr>
            <w:r>
              <w:rPr>
                <w:b/>
                <w:bCs w:val="0"/>
                <w:lang w:eastAsia="en-US"/>
              </w:rPr>
              <w:t>3246,7</w:t>
            </w:r>
          </w:p>
        </w:tc>
        <w:tc>
          <w:tcPr>
            <w:tcW w:w="1276" w:type="dxa"/>
            <w:tcBorders>
              <w:top w:val="single" w:sz="8" w:space="0" w:color="auto"/>
              <w:left w:val="nil"/>
              <w:bottom w:val="single" w:sz="8" w:space="0" w:color="auto"/>
              <w:right w:val="single" w:sz="4" w:space="0" w:color="auto"/>
            </w:tcBorders>
            <w:vAlign w:val="bottom"/>
            <w:hideMark/>
          </w:tcPr>
          <w:p w:rsidR="007A17A6" w:rsidRDefault="007A17A6">
            <w:pPr>
              <w:spacing w:line="276" w:lineRule="auto"/>
              <w:jc w:val="center"/>
              <w:rPr>
                <w:b/>
                <w:sz w:val="24"/>
                <w:szCs w:val="24"/>
                <w:lang w:eastAsia="en-US"/>
              </w:rPr>
            </w:pPr>
            <w:r>
              <w:rPr>
                <w:b/>
                <w:bCs w:val="0"/>
                <w:lang w:eastAsia="en-US"/>
              </w:rPr>
              <w:t>3194,9</w:t>
            </w:r>
          </w:p>
        </w:tc>
        <w:tc>
          <w:tcPr>
            <w:tcW w:w="992" w:type="dxa"/>
            <w:tcBorders>
              <w:top w:val="single" w:sz="8" w:space="0" w:color="auto"/>
              <w:left w:val="nil"/>
              <w:bottom w:val="single" w:sz="8" w:space="0" w:color="auto"/>
              <w:right w:val="single" w:sz="4" w:space="0" w:color="auto"/>
            </w:tcBorders>
            <w:vAlign w:val="bottom"/>
            <w:hideMark/>
          </w:tcPr>
          <w:p w:rsidR="007A17A6" w:rsidRDefault="007A17A6">
            <w:pPr>
              <w:spacing w:line="276" w:lineRule="auto"/>
              <w:jc w:val="center"/>
              <w:rPr>
                <w:b/>
                <w:sz w:val="24"/>
                <w:szCs w:val="24"/>
                <w:lang w:eastAsia="en-US"/>
              </w:rPr>
            </w:pPr>
            <w:r>
              <w:rPr>
                <w:b/>
                <w:bCs w:val="0"/>
                <w:lang w:eastAsia="en-US"/>
              </w:rPr>
              <w:t>3301,2</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540"/>
        </w:trPr>
        <w:tc>
          <w:tcPr>
            <w:tcW w:w="2552" w:type="dxa"/>
            <w:tcBorders>
              <w:top w:val="nil"/>
              <w:left w:val="single" w:sz="8" w:space="0" w:color="auto"/>
              <w:bottom w:val="single" w:sz="8"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0102</w:t>
            </w:r>
          </w:p>
        </w:tc>
        <w:tc>
          <w:tcPr>
            <w:tcW w:w="4394" w:type="dxa"/>
            <w:tcBorders>
              <w:top w:val="nil"/>
              <w:left w:val="nil"/>
              <w:bottom w:val="single" w:sz="8" w:space="0" w:color="auto"/>
              <w:right w:val="single" w:sz="4" w:space="0" w:color="auto"/>
            </w:tcBorders>
            <w:hideMark/>
          </w:tcPr>
          <w:p w:rsidR="007A17A6" w:rsidRDefault="007A17A6">
            <w:pPr>
              <w:spacing w:line="276" w:lineRule="auto"/>
              <w:jc w:val="both"/>
              <w:rPr>
                <w:sz w:val="20"/>
                <w:szCs w:val="20"/>
                <w:lang w:eastAsia="en-US"/>
              </w:rPr>
            </w:pPr>
            <w:r>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554,9</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554,9</w:t>
            </w:r>
          </w:p>
        </w:tc>
        <w:tc>
          <w:tcPr>
            <w:tcW w:w="992"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554,9</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810"/>
        </w:trPr>
        <w:tc>
          <w:tcPr>
            <w:tcW w:w="2552" w:type="dxa"/>
            <w:tcBorders>
              <w:top w:val="nil"/>
              <w:left w:val="single" w:sz="8" w:space="0" w:color="auto"/>
              <w:bottom w:val="single" w:sz="8"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0104</w:t>
            </w:r>
          </w:p>
        </w:tc>
        <w:tc>
          <w:tcPr>
            <w:tcW w:w="4394" w:type="dxa"/>
            <w:tcBorders>
              <w:top w:val="nil"/>
              <w:left w:val="nil"/>
              <w:bottom w:val="single" w:sz="8" w:space="0" w:color="auto"/>
              <w:right w:val="single" w:sz="4" w:space="0" w:color="auto"/>
            </w:tcBorders>
            <w:hideMark/>
          </w:tcPr>
          <w:p w:rsidR="007A17A6" w:rsidRDefault="007A17A6">
            <w:pPr>
              <w:spacing w:line="276" w:lineRule="auto"/>
              <w:jc w:val="both"/>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1179,3</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1043,6</w:t>
            </w:r>
          </w:p>
        </w:tc>
        <w:tc>
          <w:tcPr>
            <w:tcW w:w="992"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1043,6</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683"/>
        </w:trPr>
        <w:tc>
          <w:tcPr>
            <w:tcW w:w="2552" w:type="dxa"/>
            <w:tcBorders>
              <w:top w:val="nil"/>
              <w:left w:val="single" w:sz="8" w:space="0" w:color="auto"/>
              <w:bottom w:val="single" w:sz="8"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0106</w:t>
            </w:r>
          </w:p>
        </w:tc>
        <w:tc>
          <w:tcPr>
            <w:tcW w:w="4394" w:type="dxa"/>
            <w:tcBorders>
              <w:top w:val="nil"/>
              <w:left w:val="nil"/>
              <w:bottom w:val="single" w:sz="8" w:space="0" w:color="auto"/>
              <w:right w:val="single" w:sz="4" w:space="0" w:color="auto"/>
            </w:tcBorders>
            <w:vAlign w:val="bottom"/>
            <w:hideMark/>
          </w:tcPr>
          <w:p w:rsidR="007A17A6" w:rsidRDefault="007A17A6">
            <w:pPr>
              <w:spacing w:line="276" w:lineRule="auto"/>
              <w:jc w:val="both"/>
              <w:rPr>
                <w:sz w:val="20"/>
                <w:szCs w:val="20"/>
                <w:lang w:eastAsia="en-US"/>
              </w:rPr>
            </w:pPr>
            <w:r>
              <w:rPr>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2,2</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2,2</w:t>
            </w:r>
          </w:p>
        </w:tc>
        <w:tc>
          <w:tcPr>
            <w:tcW w:w="992"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2,2</w:t>
            </w:r>
          </w:p>
        </w:tc>
        <w:tc>
          <w:tcPr>
            <w:tcW w:w="1135" w:type="dxa"/>
            <w:noWrap/>
            <w:vAlign w:val="bottom"/>
          </w:tcPr>
          <w:p w:rsidR="007A17A6" w:rsidRDefault="007A17A6">
            <w:pPr>
              <w:spacing w:line="276" w:lineRule="auto"/>
              <w:jc w:val="both"/>
              <w:rPr>
                <w:sz w:val="20"/>
                <w:szCs w:val="20"/>
                <w:lang w:eastAsia="en-US"/>
              </w:rPr>
            </w:pPr>
          </w:p>
        </w:tc>
      </w:tr>
      <w:tr w:rsidR="007A17A6" w:rsidTr="007A17A6">
        <w:trPr>
          <w:trHeight w:val="269"/>
        </w:trPr>
        <w:tc>
          <w:tcPr>
            <w:tcW w:w="2552" w:type="dxa"/>
            <w:tcBorders>
              <w:top w:val="nil"/>
              <w:left w:val="single" w:sz="8" w:space="0" w:color="auto"/>
              <w:bottom w:val="single" w:sz="8"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0111</w:t>
            </w:r>
          </w:p>
        </w:tc>
        <w:tc>
          <w:tcPr>
            <w:tcW w:w="4394" w:type="dxa"/>
            <w:tcBorders>
              <w:top w:val="nil"/>
              <w:left w:val="nil"/>
              <w:bottom w:val="single" w:sz="8" w:space="0" w:color="auto"/>
              <w:right w:val="single" w:sz="4" w:space="0" w:color="auto"/>
            </w:tcBorders>
            <w:vAlign w:val="bottom"/>
            <w:hideMark/>
          </w:tcPr>
          <w:p w:rsidR="007A17A6" w:rsidRDefault="007A17A6">
            <w:pPr>
              <w:spacing w:line="276" w:lineRule="auto"/>
              <w:jc w:val="both"/>
              <w:rPr>
                <w:sz w:val="20"/>
                <w:szCs w:val="20"/>
                <w:lang w:eastAsia="en-US"/>
              </w:rPr>
            </w:pPr>
            <w:r>
              <w:rPr>
                <w:sz w:val="20"/>
                <w:szCs w:val="20"/>
                <w:lang w:eastAsia="en-US"/>
              </w:rPr>
              <w:t>Резервные фонды</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35,0</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0,00</w:t>
            </w:r>
          </w:p>
        </w:tc>
        <w:tc>
          <w:tcPr>
            <w:tcW w:w="992"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0,00</w:t>
            </w:r>
          </w:p>
        </w:tc>
        <w:tc>
          <w:tcPr>
            <w:tcW w:w="1135" w:type="dxa"/>
            <w:noWrap/>
            <w:vAlign w:val="bottom"/>
          </w:tcPr>
          <w:p w:rsidR="007A17A6" w:rsidRDefault="007A17A6">
            <w:pPr>
              <w:spacing w:line="276" w:lineRule="auto"/>
              <w:jc w:val="both"/>
              <w:rPr>
                <w:sz w:val="20"/>
                <w:szCs w:val="20"/>
                <w:lang w:eastAsia="en-US"/>
              </w:rPr>
            </w:pPr>
          </w:p>
        </w:tc>
      </w:tr>
      <w:tr w:rsidR="007A17A6" w:rsidTr="007A17A6">
        <w:trPr>
          <w:trHeight w:val="257"/>
        </w:trPr>
        <w:tc>
          <w:tcPr>
            <w:tcW w:w="2552" w:type="dxa"/>
            <w:tcBorders>
              <w:top w:val="nil"/>
              <w:left w:val="single" w:sz="8" w:space="0" w:color="auto"/>
              <w:bottom w:val="single" w:sz="8"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0113</w:t>
            </w:r>
          </w:p>
        </w:tc>
        <w:tc>
          <w:tcPr>
            <w:tcW w:w="4394" w:type="dxa"/>
            <w:tcBorders>
              <w:top w:val="nil"/>
              <w:left w:val="nil"/>
              <w:bottom w:val="single" w:sz="8" w:space="0" w:color="auto"/>
              <w:right w:val="single" w:sz="4" w:space="0" w:color="auto"/>
            </w:tcBorders>
            <w:vAlign w:val="bottom"/>
            <w:hideMark/>
          </w:tcPr>
          <w:p w:rsidR="007A17A6" w:rsidRDefault="007A17A6">
            <w:pPr>
              <w:spacing w:line="276" w:lineRule="auto"/>
              <w:jc w:val="both"/>
              <w:rPr>
                <w:sz w:val="20"/>
                <w:szCs w:val="20"/>
                <w:lang w:eastAsia="en-US"/>
              </w:rPr>
            </w:pPr>
            <w:r>
              <w:rPr>
                <w:sz w:val="20"/>
                <w:szCs w:val="20"/>
                <w:lang w:eastAsia="en-US"/>
              </w:rPr>
              <w:t>Другие общегосударственные вопросы</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181,0</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193,0</w:t>
            </w:r>
          </w:p>
        </w:tc>
        <w:tc>
          <w:tcPr>
            <w:tcW w:w="992"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193,0</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248"/>
        </w:trPr>
        <w:tc>
          <w:tcPr>
            <w:tcW w:w="2552" w:type="dxa"/>
            <w:tcBorders>
              <w:top w:val="nil"/>
              <w:left w:val="single" w:sz="8" w:space="0" w:color="auto"/>
              <w:bottom w:val="single" w:sz="4"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lastRenderedPageBreak/>
              <w:t>0203</w:t>
            </w:r>
          </w:p>
        </w:tc>
        <w:tc>
          <w:tcPr>
            <w:tcW w:w="4394" w:type="dxa"/>
            <w:tcBorders>
              <w:top w:val="nil"/>
              <w:left w:val="nil"/>
              <w:bottom w:val="single" w:sz="4" w:space="0" w:color="auto"/>
              <w:right w:val="single" w:sz="4" w:space="0" w:color="auto"/>
            </w:tcBorders>
            <w:vAlign w:val="bottom"/>
            <w:hideMark/>
          </w:tcPr>
          <w:p w:rsidR="007A17A6" w:rsidRDefault="007A17A6">
            <w:pPr>
              <w:spacing w:line="276" w:lineRule="auto"/>
              <w:jc w:val="both"/>
              <w:rPr>
                <w:sz w:val="20"/>
                <w:szCs w:val="20"/>
                <w:lang w:eastAsia="en-US"/>
              </w:rPr>
            </w:pPr>
            <w:r>
              <w:rPr>
                <w:sz w:val="20"/>
                <w:szCs w:val="20"/>
                <w:lang w:eastAsia="en-US"/>
              </w:rPr>
              <w:t>Мобилизационная и вневойсковая подготовка</w:t>
            </w:r>
          </w:p>
        </w:tc>
        <w:tc>
          <w:tcPr>
            <w:tcW w:w="1276" w:type="dxa"/>
            <w:tcBorders>
              <w:top w:val="nil"/>
              <w:left w:val="nil"/>
              <w:bottom w:val="single" w:sz="4"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89,9</w:t>
            </w:r>
          </w:p>
        </w:tc>
        <w:tc>
          <w:tcPr>
            <w:tcW w:w="1276" w:type="dxa"/>
            <w:tcBorders>
              <w:top w:val="nil"/>
              <w:left w:val="nil"/>
              <w:bottom w:val="single" w:sz="4"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89,9</w:t>
            </w:r>
          </w:p>
        </w:tc>
        <w:tc>
          <w:tcPr>
            <w:tcW w:w="992" w:type="dxa"/>
            <w:tcBorders>
              <w:top w:val="nil"/>
              <w:left w:val="nil"/>
              <w:bottom w:val="single" w:sz="4"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89,9</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275"/>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0310</w:t>
            </w:r>
          </w:p>
        </w:tc>
        <w:tc>
          <w:tcPr>
            <w:tcW w:w="4394" w:type="dxa"/>
            <w:tcBorders>
              <w:top w:val="single" w:sz="4" w:space="0" w:color="auto"/>
              <w:left w:val="nil"/>
              <w:bottom w:val="single" w:sz="4" w:space="0" w:color="auto"/>
              <w:right w:val="single" w:sz="4" w:space="0" w:color="auto"/>
            </w:tcBorders>
            <w:vAlign w:val="bottom"/>
            <w:hideMark/>
          </w:tcPr>
          <w:p w:rsidR="007A17A6" w:rsidRDefault="007A17A6">
            <w:pPr>
              <w:spacing w:line="276" w:lineRule="auto"/>
              <w:jc w:val="both"/>
              <w:rPr>
                <w:sz w:val="20"/>
                <w:szCs w:val="20"/>
                <w:lang w:eastAsia="en-US"/>
              </w:rPr>
            </w:pPr>
            <w:r>
              <w:rPr>
                <w:sz w:val="20"/>
                <w:szCs w:val="20"/>
                <w:lang w:eastAsia="en-US"/>
              </w:rPr>
              <w:t>Обеспечение пожарной безопасности</w:t>
            </w:r>
          </w:p>
        </w:tc>
        <w:tc>
          <w:tcPr>
            <w:tcW w:w="1276" w:type="dxa"/>
            <w:tcBorders>
              <w:top w:val="single" w:sz="4" w:space="0" w:color="auto"/>
              <w:left w:val="nil"/>
              <w:bottom w:val="single" w:sz="4"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45,0</w:t>
            </w:r>
          </w:p>
        </w:tc>
        <w:tc>
          <w:tcPr>
            <w:tcW w:w="1276" w:type="dxa"/>
            <w:tcBorders>
              <w:top w:val="single" w:sz="4" w:space="0" w:color="auto"/>
              <w:left w:val="nil"/>
              <w:bottom w:val="single" w:sz="4"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45,0</w:t>
            </w:r>
          </w:p>
        </w:tc>
        <w:tc>
          <w:tcPr>
            <w:tcW w:w="992" w:type="dxa"/>
            <w:tcBorders>
              <w:top w:val="single" w:sz="4" w:space="0" w:color="auto"/>
              <w:left w:val="nil"/>
              <w:bottom w:val="single" w:sz="4"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45,0</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600"/>
        </w:trPr>
        <w:tc>
          <w:tcPr>
            <w:tcW w:w="2552" w:type="dxa"/>
            <w:tcBorders>
              <w:top w:val="single" w:sz="4" w:space="0" w:color="auto"/>
              <w:left w:val="single" w:sz="8" w:space="0" w:color="auto"/>
              <w:bottom w:val="single" w:sz="8"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0314</w:t>
            </w:r>
          </w:p>
        </w:tc>
        <w:tc>
          <w:tcPr>
            <w:tcW w:w="4394" w:type="dxa"/>
            <w:tcBorders>
              <w:top w:val="single" w:sz="4" w:space="0" w:color="auto"/>
              <w:left w:val="nil"/>
              <w:bottom w:val="single" w:sz="8" w:space="0" w:color="auto"/>
              <w:right w:val="single" w:sz="4" w:space="0" w:color="auto"/>
            </w:tcBorders>
            <w:vAlign w:val="bottom"/>
            <w:hideMark/>
          </w:tcPr>
          <w:p w:rsidR="007A17A6" w:rsidRDefault="007A17A6">
            <w:pPr>
              <w:spacing w:line="276" w:lineRule="auto"/>
              <w:jc w:val="both"/>
              <w:rPr>
                <w:sz w:val="20"/>
                <w:szCs w:val="20"/>
                <w:lang w:eastAsia="en-US"/>
              </w:rPr>
            </w:pPr>
            <w:r>
              <w:rPr>
                <w:sz w:val="20"/>
                <w:szCs w:val="20"/>
                <w:lang w:eastAsia="en-US"/>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5,0</w:t>
            </w:r>
          </w:p>
        </w:tc>
        <w:tc>
          <w:tcPr>
            <w:tcW w:w="1276" w:type="dxa"/>
            <w:tcBorders>
              <w:top w:val="single" w:sz="4" w:space="0" w:color="auto"/>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5,0</w:t>
            </w:r>
          </w:p>
        </w:tc>
        <w:tc>
          <w:tcPr>
            <w:tcW w:w="992" w:type="dxa"/>
            <w:tcBorders>
              <w:top w:val="single" w:sz="4" w:space="0" w:color="auto"/>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5,0</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280"/>
        </w:trPr>
        <w:tc>
          <w:tcPr>
            <w:tcW w:w="2552" w:type="dxa"/>
            <w:tcBorders>
              <w:top w:val="nil"/>
              <w:left w:val="single" w:sz="8" w:space="0" w:color="auto"/>
              <w:bottom w:val="single" w:sz="8"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0409</w:t>
            </w:r>
          </w:p>
        </w:tc>
        <w:tc>
          <w:tcPr>
            <w:tcW w:w="4394" w:type="dxa"/>
            <w:tcBorders>
              <w:top w:val="nil"/>
              <w:left w:val="nil"/>
              <w:bottom w:val="single" w:sz="8" w:space="0" w:color="auto"/>
              <w:right w:val="single" w:sz="4" w:space="0" w:color="auto"/>
            </w:tcBorders>
            <w:vAlign w:val="bottom"/>
            <w:hideMark/>
          </w:tcPr>
          <w:p w:rsidR="007A17A6" w:rsidRDefault="007A17A6">
            <w:pPr>
              <w:spacing w:line="276" w:lineRule="auto"/>
              <w:jc w:val="both"/>
              <w:rPr>
                <w:sz w:val="20"/>
                <w:szCs w:val="20"/>
                <w:lang w:eastAsia="en-US"/>
              </w:rPr>
            </w:pPr>
            <w:r>
              <w:rPr>
                <w:sz w:val="20"/>
                <w:szCs w:val="20"/>
                <w:lang w:eastAsia="en-US"/>
              </w:rPr>
              <w:t>Дорожное хозяйство (дорожные фонды)</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310,4</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265,2</w:t>
            </w:r>
          </w:p>
        </w:tc>
        <w:tc>
          <w:tcPr>
            <w:tcW w:w="992"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378,8</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330"/>
        </w:trPr>
        <w:tc>
          <w:tcPr>
            <w:tcW w:w="2552" w:type="dxa"/>
            <w:tcBorders>
              <w:top w:val="nil"/>
              <w:left w:val="single" w:sz="8" w:space="0" w:color="auto"/>
              <w:bottom w:val="single" w:sz="8"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0412</w:t>
            </w:r>
          </w:p>
        </w:tc>
        <w:tc>
          <w:tcPr>
            <w:tcW w:w="4394" w:type="dxa"/>
            <w:tcBorders>
              <w:top w:val="nil"/>
              <w:left w:val="nil"/>
              <w:bottom w:val="single" w:sz="8" w:space="0" w:color="auto"/>
              <w:right w:val="single" w:sz="4" w:space="0" w:color="auto"/>
            </w:tcBorders>
            <w:vAlign w:val="bottom"/>
            <w:hideMark/>
          </w:tcPr>
          <w:p w:rsidR="007A17A6" w:rsidRDefault="007A17A6">
            <w:pPr>
              <w:spacing w:line="276" w:lineRule="auto"/>
              <w:jc w:val="both"/>
              <w:rPr>
                <w:sz w:val="20"/>
                <w:szCs w:val="20"/>
                <w:lang w:eastAsia="en-US"/>
              </w:rPr>
            </w:pPr>
            <w:r>
              <w:rPr>
                <w:sz w:val="20"/>
                <w:szCs w:val="20"/>
                <w:lang w:eastAsia="en-US"/>
              </w:rPr>
              <w:t>Другие вопросы в области национальной экономики</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1,5</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1,5</w:t>
            </w:r>
          </w:p>
        </w:tc>
        <w:tc>
          <w:tcPr>
            <w:tcW w:w="992"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1,5</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205"/>
        </w:trPr>
        <w:tc>
          <w:tcPr>
            <w:tcW w:w="2552" w:type="dxa"/>
            <w:tcBorders>
              <w:top w:val="nil"/>
              <w:left w:val="single" w:sz="8" w:space="0" w:color="auto"/>
              <w:bottom w:val="single" w:sz="8"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0503</w:t>
            </w:r>
          </w:p>
        </w:tc>
        <w:tc>
          <w:tcPr>
            <w:tcW w:w="4394" w:type="dxa"/>
            <w:tcBorders>
              <w:top w:val="nil"/>
              <w:left w:val="nil"/>
              <w:bottom w:val="single" w:sz="8" w:space="0" w:color="auto"/>
              <w:right w:val="single" w:sz="4" w:space="0" w:color="auto"/>
            </w:tcBorders>
            <w:vAlign w:val="bottom"/>
            <w:hideMark/>
          </w:tcPr>
          <w:p w:rsidR="007A17A6" w:rsidRDefault="007A17A6">
            <w:pPr>
              <w:spacing w:line="276" w:lineRule="auto"/>
              <w:jc w:val="both"/>
              <w:rPr>
                <w:sz w:val="20"/>
                <w:szCs w:val="20"/>
                <w:lang w:eastAsia="en-US"/>
              </w:rPr>
            </w:pPr>
            <w:r>
              <w:rPr>
                <w:sz w:val="20"/>
                <w:szCs w:val="20"/>
                <w:lang w:eastAsia="en-US"/>
              </w:rPr>
              <w:t>Благоустройство</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427,3</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464,8</w:t>
            </w:r>
          </w:p>
        </w:tc>
        <w:tc>
          <w:tcPr>
            <w:tcW w:w="992"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368,1</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238"/>
        </w:trPr>
        <w:tc>
          <w:tcPr>
            <w:tcW w:w="2552" w:type="dxa"/>
            <w:tcBorders>
              <w:top w:val="nil"/>
              <w:left w:val="single" w:sz="8" w:space="0" w:color="auto"/>
              <w:bottom w:val="single" w:sz="8"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0707</w:t>
            </w:r>
          </w:p>
        </w:tc>
        <w:tc>
          <w:tcPr>
            <w:tcW w:w="4394" w:type="dxa"/>
            <w:tcBorders>
              <w:top w:val="nil"/>
              <w:left w:val="nil"/>
              <w:bottom w:val="single" w:sz="8" w:space="0" w:color="auto"/>
              <w:right w:val="single" w:sz="4" w:space="0" w:color="auto"/>
            </w:tcBorders>
            <w:vAlign w:val="bottom"/>
            <w:hideMark/>
          </w:tcPr>
          <w:p w:rsidR="007A17A6" w:rsidRDefault="007A17A6">
            <w:pPr>
              <w:spacing w:line="276" w:lineRule="auto"/>
              <w:jc w:val="both"/>
              <w:rPr>
                <w:sz w:val="20"/>
                <w:szCs w:val="20"/>
                <w:lang w:eastAsia="en-US"/>
              </w:rPr>
            </w:pPr>
            <w:r>
              <w:rPr>
                <w:sz w:val="20"/>
                <w:szCs w:val="20"/>
                <w:lang w:eastAsia="en-US"/>
              </w:rPr>
              <w:t>Молодежная политика</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0,2</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0,2</w:t>
            </w:r>
          </w:p>
        </w:tc>
        <w:tc>
          <w:tcPr>
            <w:tcW w:w="992"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0,2</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330"/>
        </w:trPr>
        <w:tc>
          <w:tcPr>
            <w:tcW w:w="2552" w:type="dxa"/>
            <w:tcBorders>
              <w:top w:val="nil"/>
              <w:left w:val="single" w:sz="8" w:space="0" w:color="auto"/>
              <w:bottom w:val="single" w:sz="8"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0801</w:t>
            </w:r>
          </w:p>
        </w:tc>
        <w:tc>
          <w:tcPr>
            <w:tcW w:w="4394" w:type="dxa"/>
            <w:tcBorders>
              <w:top w:val="nil"/>
              <w:left w:val="nil"/>
              <w:bottom w:val="single" w:sz="8" w:space="0" w:color="auto"/>
              <w:right w:val="single" w:sz="4" w:space="0" w:color="auto"/>
            </w:tcBorders>
            <w:vAlign w:val="bottom"/>
            <w:hideMark/>
          </w:tcPr>
          <w:p w:rsidR="007A17A6" w:rsidRDefault="007A17A6">
            <w:pPr>
              <w:spacing w:line="276" w:lineRule="auto"/>
              <w:jc w:val="both"/>
              <w:rPr>
                <w:sz w:val="20"/>
                <w:szCs w:val="20"/>
                <w:lang w:eastAsia="en-US"/>
              </w:rPr>
            </w:pPr>
            <w:r>
              <w:rPr>
                <w:sz w:val="20"/>
                <w:szCs w:val="20"/>
                <w:lang w:eastAsia="en-US"/>
              </w:rPr>
              <w:t>Культура</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409,0</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450,0</w:t>
            </w:r>
          </w:p>
        </w:tc>
        <w:tc>
          <w:tcPr>
            <w:tcW w:w="992"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450,0</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330"/>
        </w:trPr>
        <w:tc>
          <w:tcPr>
            <w:tcW w:w="2552" w:type="dxa"/>
            <w:tcBorders>
              <w:top w:val="single" w:sz="4" w:space="0" w:color="auto"/>
              <w:left w:val="single" w:sz="8" w:space="0" w:color="auto"/>
              <w:bottom w:val="single" w:sz="8"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1102</w:t>
            </w:r>
          </w:p>
        </w:tc>
        <w:tc>
          <w:tcPr>
            <w:tcW w:w="4394" w:type="dxa"/>
            <w:tcBorders>
              <w:top w:val="single" w:sz="4" w:space="0" w:color="auto"/>
              <w:left w:val="nil"/>
              <w:bottom w:val="single" w:sz="8" w:space="0" w:color="auto"/>
              <w:right w:val="single" w:sz="4" w:space="0" w:color="auto"/>
            </w:tcBorders>
            <w:vAlign w:val="bottom"/>
            <w:hideMark/>
          </w:tcPr>
          <w:p w:rsidR="007A17A6" w:rsidRDefault="007A17A6">
            <w:pPr>
              <w:spacing w:line="276" w:lineRule="auto"/>
              <w:jc w:val="both"/>
              <w:rPr>
                <w:sz w:val="20"/>
                <w:szCs w:val="20"/>
                <w:lang w:eastAsia="en-US"/>
              </w:rPr>
            </w:pPr>
            <w:r>
              <w:rPr>
                <w:sz w:val="20"/>
                <w:szCs w:val="20"/>
                <w:lang w:eastAsia="en-US"/>
              </w:rPr>
              <w:t>Массовый спорт</w:t>
            </w:r>
          </w:p>
        </w:tc>
        <w:tc>
          <w:tcPr>
            <w:tcW w:w="1276" w:type="dxa"/>
            <w:tcBorders>
              <w:top w:val="single" w:sz="4" w:space="0" w:color="auto"/>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6,0</w:t>
            </w:r>
          </w:p>
        </w:tc>
        <w:tc>
          <w:tcPr>
            <w:tcW w:w="1276" w:type="dxa"/>
            <w:tcBorders>
              <w:top w:val="single" w:sz="4" w:space="0" w:color="auto"/>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0,0</w:t>
            </w:r>
          </w:p>
        </w:tc>
        <w:tc>
          <w:tcPr>
            <w:tcW w:w="992" w:type="dxa"/>
            <w:tcBorders>
              <w:top w:val="single" w:sz="4" w:space="0" w:color="auto"/>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0,0</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r w:rsidR="007A17A6" w:rsidTr="007A17A6">
        <w:trPr>
          <w:trHeight w:val="330"/>
        </w:trPr>
        <w:tc>
          <w:tcPr>
            <w:tcW w:w="2552" w:type="dxa"/>
            <w:tcBorders>
              <w:top w:val="nil"/>
              <w:left w:val="single" w:sz="8" w:space="0" w:color="auto"/>
              <w:bottom w:val="single" w:sz="8" w:space="0" w:color="auto"/>
              <w:right w:val="single" w:sz="4" w:space="0" w:color="auto"/>
            </w:tcBorders>
            <w:noWrap/>
            <w:vAlign w:val="center"/>
            <w:hideMark/>
          </w:tcPr>
          <w:p w:rsidR="007A17A6" w:rsidRDefault="007A17A6">
            <w:pPr>
              <w:spacing w:line="276" w:lineRule="auto"/>
              <w:jc w:val="center"/>
              <w:rPr>
                <w:sz w:val="20"/>
                <w:szCs w:val="20"/>
                <w:lang w:eastAsia="en-US"/>
              </w:rPr>
            </w:pPr>
            <w:r>
              <w:rPr>
                <w:sz w:val="20"/>
                <w:szCs w:val="20"/>
                <w:lang w:eastAsia="en-US"/>
              </w:rPr>
              <w:t>9999</w:t>
            </w:r>
          </w:p>
        </w:tc>
        <w:tc>
          <w:tcPr>
            <w:tcW w:w="4394" w:type="dxa"/>
            <w:tcBorders>
              <w:top w:val="nil"/>
              <w:left w:val="nil"/>
              <w:bottom w:val="single" w:sz="8" w:space="0" w:color="auto"/>
              <w:right w:val="single" w:sz="4" w:space="0" w:color="auto"/>
            </w:tcBorders>
            <w:vAlign w:val="bottom"/>
            <w:hideMark/>
          </w:tcPr>
          <w:p w:rsidR="007A17A6" w:rsidRDefault="007A17A6">
            <w:pPr>
              <w:spacing w:line="276" w:lineRule="auto"/>
              <w:jc w:val="both"/>
              <w:rPr>
                <w:sz w:val="20"/>
                <w:szCs w:val="20"/>
                <w:lang w:eastAsia="en-US"/>
              </w:rPr>
            </w:pPr>
            <w:r>
              <w:rPr>
                <w:sz w:val="20"/>
                <w:szCs w:val="20"/>
                <w:lang w:eastAsia="en-US"/>
              </w:rPr>
              <w:t>Условно утвержденные расходы</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0,0</w:t>
            </w:r>
          </w:p>
        </w:tc>
        <w:tc>
          <w:tcPr>
            <w:tcW w:w="1276"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79,6</w:t>
            </w:r>
          </w:p>
        </w:tc>
        <w:tc>
          <w:tcPr>
            <w:tcW w:w="992" w:type="dxa"/>
            <w:tcBorders>
              <w:top w:val="nil"/>
              <w:left w:val="nil"/>
              <w:bottom w:val="single" w:sz="8" w:space="0" w:color="auto"/>
              <w:right w:val="single" w:sz="4" w:space="0" w:color="auto"/>
            </w:tcBorders>
            <w:vAlign w:val="bottom"/>
            <w:hideMark/>
          </w:tcPr>
          <w:p w:rsidR="007A17A6" w:rsidRDefault="007A17A6">
            <w:pPr>
              <w:spacing w:line="276" w:lineRule="auto"/>
              <w:jc w:val="center"/>
              <w:rPr>
                <w:sz w:val="20"/>
                <w:szCs w:val="20"/>
                <w:lang w:eastAsia="en-US"/>
              </w:rPr>
            </w:pPr>
            <w:r>
              <w:rPr>
                <w:sz w:val="20"/>
                <w:szCs w:val="20"/>
                <w:lang w:eastAsia="en-US"/>
              </w:rPr>
              <w:t>169,0</w:t>
            </w:r>
          </w:p>
        </w:tc>
        <w:tc>
          <w:tcPr>
            <w:tcW w:w="1135" w:type="dxa"/>
            <w:noWrap/>
            <w:vAlign w:val="bottom"/>
            <w:hideMark/>
          </w:tcPr>
          <w:p w:rsidR="007A17A6" w:rsidRDefault="007A17A6">
            <w:pPr>
              <w:spacing w:line="276" w:lineRule="auto"/>
              <w:rPr>
                <w:rFonts w:asciiTheme="minorHAnsi" w:eastAsiaTheme="minorHAnsi" w:hAnsiTheme="minorHAnsi" w:cstheme="minorBidi"/>
                <w:bCs w:val="0"/>
                <w:sz w:val="22"/>
                <w:szCs w:val="22"/>
                <w:lang w:eastAsia="en-US"/>
              </w:rPr>
            </w:pP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A6"/>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0615B"/>
    <w:rsid w:val="00210162"/>
    <w:rsid w:val="0021072E"/>
    <w:rsid w:val="002155B9"/>
    <w:rsid w:val="00216A7A"/>
    <w:rsid w:val="0022070E"/>
    <w:rsid w:val="002259AC"/>
    <w:rsid w:val="00226EFD"/>
    <w:rsid w:val="002271AE"/>
    <w:rsid w:val="00234FF0"/>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301C01"/>
    <w:rsid w:val="00306D63"/>
    <w:rsid w:val="003107BC"/>
    <w:rsid w:val="00320878"/>
    <w:rsid w:val="00321F19"/>
    <w:rsid w:val="00332A50"/>
    <w:rsid w:val="00340894"/>
    <w:rsid w:val="00342955"/>
    <w:rsid w:val="003449AF"/>
    <w:rsid w:val="003516B7"/>
    <w:rsid w:val="00354DB7"/>
    <w:rsid w:val="003626F1"/>
    <w:rsid w:val="0036377E"/>
    <w:rsid w:val="003666D4"/>
    <w:rsid w:val="003706C5"/>
    <w:rsid w:val="00385B13"/>
    <w:rsid w:val="003863FC"/>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F704F"/>
    <w:rsid w:val="004F72EA"/>
    <w:rsid w:val="00503464"/>
    <w:rsid w:val="0050583D"/>
    <w:rsid w:val="005112A3"/>
    <w:rsid w:val="00516567"/>
    <w:rsid w:val="005172B7"/>
    <w:rsid w:val="00522AE8"/>
    <w:rsid w:val="00526A60"/>
    <w:rsid w:val="00526FB1"/>
    <w:rsid w:val="0053723E"/>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1D2F"/>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17A6"/>
    <w:rsid w:val="007A307D"/>
    <w:rsid w:val="007A7D83"/>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0421"/>
    <w:rsid w:val="008C2C1B"/>
    <w:rsid w:val="008C3D32"/>
    <w:rsid w:val="008D5E2B"/>
    <w:rsid w:val="008E6D68"/>
    <w:rsid w:val="008F3C8F"/>
    <w:rsid w:val="009024A1"/>
    <w:rsid w:val="00904919"/>
    <w:rsid w:val="00910E25"/>
    <w:rsid w:val="00914247"/>
    <w:rsid w:val="0091584B"/>
    <w:rsid w:val="0092545F"/>
    <w:rsid w:val="00927CC2"/>
    <w:rsid w:val="00935F83"/>
    <w:rsid w:val="00953C91"/>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31511"/>
    <w:rsid w:val="00D32765"/>
    <w:rsid w:val="00D3640F"/>
    <w:rsid w:val="00D42D3F"/>
    <w:rsid w:val="00D46A97"/>
    <w:rsid w:val="00D52599"/>
    <w:rsid w:val="00D53B76"/>
    <w:rsid w:val="00D60EA1"/>
    <w:rsid w:val="00D70533"/>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EF5D5F"/>
    <w:rsid w:val="00F05BA9"/>
    <w:rsid w:val="00F16FEB"/>
    <w:rsid w:val="00F17B9C"/>
    <w:rsid w:val="00F23137"/>
    <w:rsid w:val="00F3366A"/>
    <w:rsid w:val="00F35E3A"/>
    <w:rsid w:val="00F4251E"/>
    <w:rsid w:val="00F4686D"/>
    <w:rsid w:val="00F53027"/>
    <w:rsid w:val="00F64234"/>
    <w:rsid w:val="00F73764"/>
    <w:rsid w:val="00F83C15"/>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A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A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5690</Words>
  <Characters>32439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2018-11-28T06:51:00Z</dcterms:created>
  <dcterms:modified xsi:type="dcterms:W3CDTF">2018-11-28T06:52:00Z</dcterms:modified>
</cp:coreProperties>
</file>