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41" w:rsidRDefault="00904141" w:rsidP="00904141">
      <w:pPr>
        <w:ind w:right="5755"/>
        <w:rPr>
          <w:b/>
        </w:rPr>
      </w:pPr>
      <w:r>
        <w:rPr>
          <w:b/>
        </w:rPr>
        <w:t>АДМИНИСТРАЦИЯ</w:t>
      </w:r>
    </w:p>
    <w:p w:rsidR="00904141" w:rsidRDefault="00904141" w:rsidP="00904141">
      <w:pPr>
        <w:ind w:right="5755"/>
        <w:jc w:val="center"/>
        <w:rPr>
          <w:b/>
        </w:rPr>
      </w:pPr>
      <w:r>
        <w:rPr>
          <w:b/>
        </w:rPr>
        <w:t>муниципального</w:t>
      </w:r>
    </w:p>
    <w:p w:rsidR="00904141" w:rsidRDefault="00904141" w:rsidP="00904141">
      <w:pPr>
        <w:ind w:right="5755"/>
        <w:jc w:val="center"/>
        <w:rPr>
          <w:b/>
        </w:rPr>
      </w:pPr>
      <w:r>
        <w:rPr>
          <w:b/>
        </w:rPr>
        <w:t>образования</w:t>
      </w:r>
    </w:p>
    <w:p w:rsidR="00904141" w:rsidRDefault="00904141" w:rsidP="00904141">
      <w:pPr>
        <w:ind w:right="5755"/>
        <w:jc w:val="center"/>
        <w:rPr>
          <w:b/>
        </w:rPr>
      </w:pPr>
      <w:r>
        <w:rPr>
          <w:b/>
        </w:rPr>
        <w:t>Рыбкинский сельсовет</w:t>
      </w:r>
    </w:p>
    <w:p w:rsidR="00904141" w:rsidRDefault="00904141" w:rsidP="00904141">
      <w:pPr>
        <w:ind w:right="5755"/>
        <w:jc w:val="center"/>
        <w:rPr>
          <w:b/>
        </w:rPr>
      </w:pPr>
      <w:r>
        <w:rPr>
          <w:b/>
        </w:rPr>
        <w:t>Новосергиевского района</w:t>
      </w:r>
    </w:p>
    <w:p w:rsidR="00904141" w:rsidRDefault="00904141" w:rsidP="00904141">
      <w:pPr>
        <w:ind w:right="5755"/>
        <w:jc w:val="center"/>
        <w:rPr>
          <w:b/>
        </w:rPr>
      </w:pPr>
      <w:r>
        <w:rPr>
          <w:b/>
        </w:rPr>
        <w:t>Оренбургской  области</w:t>
      </w:r>
    </w:p>
    <w:p w:rsidR="00904141" w:rsidRDefault="00904141" w:rsidP="00904141">
      <w:pPr>
        <w:ind w:right="5755"/>
        <w:jc w:val="center"/>
        <w:rPr>
          <w:b/>
        </w:rPr>
      </w:pPr>
    </w:p>
    <w:p w:rsidR="00904141" w:rsidRDefault="00904141" w:rsidP="00904141">
      <w:pPr>
        <w:ind w:right="5755"/>
        <w:jc w:val="center"/>
        <w:rPr>
          <w:b/>
        </w:rPr>
      </w:pPr>
      <w:r>
        <w:rPr>
          <w:b/>
        </w:rPr>
        <w:t>ПОСТАНОВЛЕНИЕ</w:t>
      </w:r>
    </w:p>
    <w:p w:rsidR="00904141" w:rsidRDefault="00904141" w:rsidP="00904141">
      <w:pPr>
        <w:ind w:right="5755"/>
        <w:jc w:val="center"/>
        <w:rPr>
          <w:b/>
          <w:color w:val="FF0000"/>
        </w:rPr>
      </w:pPr>
    </w:p>
    <w:p w:rsidR="00904141" w:rsidRDefault="00904141" w:rsidP="00904141">
      <w:pPr>
        <w:ind w:right="5755"/>
        <w:jc w:val="center"/>
      </w:pPr>
      <w:r>
        <w:t>05.11.2020  г. № 98-п</w:t>
      </w:r>
    </w:p>
    <w:p w:rsidR="00904141" w:rsidRDefault="00904141" w:rsidP="00904141">
      <w:pPr>
        <w:ind w:right="5755"/>
        <w:jc w:val="center"/>
      </w:pPr>
      <w:r>
        <w:t>с.Рыбкино</w:t>
      </w:r>
    </w:p>
    <w:p w:rsidR="00904141" w:rsidRDefault="00904141" w:rsidP="00904141">
      <w:pPr>
        <w:ind w:right="5755"/>
        <w:jc w:val="center"/>
      </w:pPr>
    </w:p>
    <w:p w:rsidR="00904141" w:rsidRDefault="00904141" w:rsidP="00904141">
      <w:pPr>
        <w:ind w:right="3684"/>
        <w:jc w:val="both"/>
      </w:pPr>
      <w:r>
        <w:rPr>
          <w:bCs w:val="0"/>
        </w:rPr>
        <w:t>Об утверждении методики формирования бюджета муниципального образования Рыбкинский сельсовет Новосергиевского района Оренбургской области на 2021 год и на период 2022 и 2023 годов</w:t>
      </w:r>
    </w:p>
    <w:p w:rsidR="00904141" w:rsidRDefault="00904141" w:rsidP="00904141">
      <w:pPr>
        <w:ind w:right="5755"/>
        <w:jc w:val="center"/>
      </w:pPr>
    </w:p>
    <w:p w:rsidR="00904141" w:rsidRDefault="00904141" w:rsidP="00904141">
      <w:pPr>
        <w:ind w:firstLine="567"/>
        <w:jc w:val="both"/>
      </w:pPr>
      <w:r>
        <w:t xml:space="preserve">          В соответствии с Решением  Совета депутатов муниципального образования Рыбкинский сельсовет от 28.02.2019 года № 41/2-р.С.  «</w:t>
      </w:r>
      <w:r>
        <w:rPr>
          <w:bCs w:val="0"/>
        </w:rPr>
        <w:t>О бюджетном процессе в муниципальном образовании Рыбкинский сельсовет Новосергиевского района Оренбургской области</w:t>
      </w:r>
      <w:r>
        <w:t>»:</w:t>
      </w:r>
    </w:p>
    <w:p w:rsidR="00904141" w:rsidRDefault="00904141" w:rsidP="00904141">
      <w:pPr>
        <w:ind w:firstLine="567"/>
        <w:jc w:val="both"/>
      </w:pPr>
      <w:r>
        <w:t>1. Утвердить методику формирования бюджета муниципального    образования Рыбкинский сельсовет Новосергиевского района Оренбургской области  на 2021</w:t>
      </w:r>
      <w:r>
        <w:rPr>
          <w:b/>
        </w:rPr>
        <w:t xml:space="preserve"> </w:t>
      </w:r>
      <w:r>
        <w:t>год и на плановый период 2022 и 2023 годов.</w:t>
      </w:r>
    </w:p>
    <w:p w:rsidR="00904141" w:rsidRDefault="00904141" w:rsidP="00904141">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904141" w:rsidRDefault="00904141" w:rsidP="00904141">
      <w:pPr>
        <w:ind w:firstLine="567"/>
        <w:jc w:val="both"/>
      </w:pPr>
      <w: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904141" w:rsidRDefault="00904141" w:rsidP="00904141">
      <w:pPr>
        <w:ind w:right="5755"/>
        <w:jc w:val="center"/>
      </w:pPr>
    </w:p>
    <w:p w:rsidR="00904141" w:rsidRDefault="00904141" w:rsidP="00904141">
      <w:pPr>
        <w:ind w:right="5755"/>
        <w:jc w:val="center"/>
      </w:pPr>
    </w:p>
    <w:p w:rsidR="00904141" w:rsidRDefault="00904141" w:rsidP="00904141">
      <w:pPr>
        <w:ind w:right="5755"/>
        <w:jc w:val="center"/>
      </w:pPr>
    </w:p>
    <w:p w:rsidR="00904141" w:rsidRDefault="00904141" w:rsidP="00904141">
      <w:pPr>
        <w:ind w:right="-2"/>
        <w:jc w:val="center"/>
      </w:pPr>
      <w:r>
        <w:t>Глава администрации                                                        Ю.П.Колесников</w:t>
      </w:r>
    </w:p>
    <w:p w:rsidR="00904141" w:rsidRDefault="00904141" w:rsidP="00904141">
      <w:pPr>
        <w:ind w:right="-2"/>
        <w:jc w:val="center"/>
      </w:pPr>
    </w:p>
    <w:p w:rsidR="00904141" w:rsidRDefault="00904141" w:rsidP="00904141">
      <w:pPr>
        <w:ind w:right="-2"/>
        <w:jc w:val="center"/>
      </w:pPr>
    </w:p>
    <w:p w:rsidR="00904141" w:rsidRDefault="00904141" w:rsidP="00904141">
      <w:pPr>
        <w:ind w:right="-2"/>
        <w:jc w:val="center"/>
      </w:pPr>
    </w:p>
    <w:p w:rsidR="00904141" w:rsidRDefault="00904141" w:rsidP="00904141">
      <w:pPr>
        <w:ind w:right="-2"/>
        <w:jc w:val="center"/>
      </w:pPr>
    </w:p>
    <w:p w:rsidR="00904141" w:rsidRDefault="00904141" w:rsidP="00904141">
      <w:pPr>
        <w:jc w:val="both"/>
      </w:pPr>
      <w:r>
        <w:t>Разослано: финансовому отделу Новосергиевского района, ЦБУ Новосергиевского района,  прокурору, в дело</w:t>
      </w:r>
    </w:p>
    <w:p w:rsidR="00904141" w:rsidRDefault="00904141" w:rsidP="00904141">
      <w:pPr>
        <w:ind w:right="-2"/>
        <w:jc w:val="center"/>
      </w:pPr>
    </w:p>
    <w:p w:rsidR="00904141" w:rsidRDefault="00904141" w:rsidP="00904141">
      <w:pPr>
        <w:ind w:right="3684"/>
        <w:jc w:val="both"/>
      </w:pPr>
    </w:p>
    <w:p w:rsidR="00904141" w:rsidRDefault="00904141" w:rsidP="00904141">
      <w:pPr>
        <w:ind w:right="3684"/>
        <w:jc w:val="both"/>
      </w:pPr>
    </w:p>
    <w:p w:rsidR="00904141" w:rsidRDefault="00904141" w:rsidP="00904141">
      <w:pPr>
        <w:ind w:right="3684"/>
        <w:jc w:val="both"/>
      </w:pPr>
    </w:p>
    <w:p w:rsidR="00904141" w:rsidRDefault="00904141" w:rsidP="00904141">
      <w:pPr>
        <w:ind w:right="3684"/>
        <w:jc w:val="both"/>
      </w:pPr>
    </w:p>
    <w:p w:rsidR="00904141" w:rsidRDefault="00904141" w:rsidP="00904141">
      <w:pPr>
        <w:jc w:val="right"/>
      </w:pPr>
      <w:r>
        <w:lastRenderedPageBreak/>
        <w:t xml:space="preserve">Приложение  </w:t>
      </w:r>
    </w:p>
    <w:p w:rsidR="00904141" w:rsidRDefault="00904141" w:rsidP="00904141">
      <w:pPr>
        <w:jc w:val="right"/>
      </w:pPr>
      <w:r>
        <w:t>к постановлению  администрации</w:t>
      </w:r>
    </w:p>
    <w:p w:rsidR="00904141" w:rsidRDefault="00904141" w:rsidP="00904141">
      <w:pPr>
        <w:jc w:val="right"/>
      </w:pPr>
      <w:r>
        <w:t xml:space="preserve">Рыбкинского сельсовета </w:t>
      </w:r>
    </w:p>
    <w:p w:rsidR="00904141" w:rsidRDefault="00904141" w:rsidP="00904141">
      <w:pPr>
        <w:jc w:val="right"/>
      </w:pPr>
      <w:r>
        <w:t>от 05.11.2020 г. № 98-п</w:t>
      </w:r>
    </w:p>
    <w:p w:rsidR="00904141" w:rsidRDefault="00904141" w:rsidP="00904141">
      <w:pPr>
        <w:jc w:val="right"/>
      </w:pPr>
    </w:p>
    <w:p w:rsidR="00904141" w:rsidRDefault="00904141" w:rsidP="00904141">
      <w:pPr>
        <w:jc w:val="center"/>
        <w:rPr>
          <w:b/>
        </w:rPr>
      </w:pPr>
      <w:r>
        <w:rPr>
          <w:b/>
        </w:rPr>
        <w:t>Методика</w:t>
      </w:r>
    </w:p>
    <w:p w:rsidR="00904141" w:rsidRDefault="00904141" w:rsidP="00904141">
      <w:pPr>
        <w:tabs>
          <w:tab w:val="left" w:pos="1701"/>
        </w:tabs>
        <w:jc w:val="center"/>
        <w:rPr>
          <w:b/>
        </w:rPr>
      </w:pPr>
      <w:r>
        <w:rPr>
          <w:b/>
        </w:rPr>
        <w:t>формирования бюджета муниципального образования Рыбкинский сельсовет на 2021 год и на плановый период 2022 и 2023 годов</w:t>
      </w:r>
    </w:p>
    <w:p w:rsidR="00904141" w:rsidRDefault="00904141" w:rsidP="00904141">
      <w:pPr>
        <w:tabs>
          <w:tab w:val="left" w:pos="1701"/>
        </w:tabs>
        <w:jc w:val="center"/>
        <w:rPr>
          <w:b/>
        </w:rPr>
      </w:pPr>
    </w:p>
    <w:p w:rsidR="00904141" w:rsidRDefault="00904141" w:rsidP="00904141">
      <w:pPr>
        <w:ind w:firstLine="709"/>
        <w:jc w:val="both"/>
      </w:pPr>
      <w:r>
        <w:t>Настоящая методика устанавливает основные подходы к формированию доходов, порядок и методику планирования бюджетных ассигнований местного бюджета на 2021 год и на плановый период 2022 и 2023 годов.</w:t>
      </w:r>
    </w:p>
    <w:p w:rsidR="00904141" w:rsidRDefault="00904141" w:rsidP="00904141">
      <w:pPr>
        <w:ind w:firstLine="709"/>
        <w:jc w:val="both"/>
      </w:pPr>
      <w:r>
        <w:t>Методика включает в себя разделы, определяющие порядок прогнозирования доходов местного бюджета, методику расчета прогноза поступления налогов в бюджет муниципального образования Рыбкинский сельсовет Новосергиевского района Оренбургской области, принимаемых при определении величины налогового потенциала муниципального образования, а также порядок планирования бюджетных ассигнований местного бюджета.</w:t>
      </w:r>
    </w:p>
    <w:p w:rsidR="00904141" w:rsidRDefault="00904141" w:rsidP="00904141">
      <w:pPr>
        <w:pStyle w:val="a4"/>
        <w:ind w:firstLine="709"/>
        <w:jc w:val="both"/>
        <w:rPr>
          <w:sz w:val="28"/>
          <w:szCs w:val="28"/>
        </w:rPr>
      </w:pPr>
      <w:proofErr w:type="gramStart"/>
      <w:r>
        <w:rPr>
          <w:sz w:val="28"/>
          <w:szCs w:val="28"/>
        </w:rPr>
        <w:t xml:space="preserve">Основой составления местного бюджета на 2021–2023 годы является прогноз социально-экономического развития муниципального образования Рыбкинский сельсовет Новосергиевского района Оренбургской области на 2021 год и плановый период 2022 и 2023 годов, основные направления бюджетной политики, налоговой политики на 2021 год и на плановый период 2022 и 2023 годов, а также приоритеты бюджетной и налоговой политики, установленные на районном и областном уровне. </w:t>
      </w:r>
      <w:proofErr w:type="gramEnd"/>
    </w:p>
    <w:p w:rsidR="00904141" w:rsidRDefault="00904141" w:rsidP="00904141">
      <w:pPr>
        <w:pStyle w:val="a4"/>
        <w:spacing w:before="120" w:after="120"/>
        <w:ind w:firstLine="567"/>
        <w:jc w:val="both"/>
        <w:rPr>
          <w:sz w:val="28"/>
          <w:szCs w:val="28"/>
        </w:rPr>
      </w:pPr>
      <w:r>
        <w:rPr>
          <w:sz w:val="28"/>
          <w:szCs w:val="28"/>
        </w:rPr>
        <w:t>Планирование и распределение предельных объемов бюджетных ассигнований по кодам бюджетной классификации Российской Федерации осуществляется в соответствии приказами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904141" w:rsidRDefault="00904141" w:rsidP="00904141">
      <w:pPr>
        <w:pStyle w:val="a4"/>
        <w:ind w:firstLine="709"/>
        <w:jc w:val="both"/>
        <w:rPr>
          <w:sz w:val="28"/>
          <w:szCs w:val="28"/>
        </w:rPr>
      </w:pPr>
      <w:r>
        <w:rPr>
          <w:sz w:val="28"/>
          <w:szCs w:val="28"/>
        </w:rPr>
        <w:t xml:space="preserve">При составлении проекта бюджета сельского поселения применяются приказы </w:t>
      </w:r>
      <w:r>
        <w:rPr>
          <w:color w:val="222222"/>
          <w:kern w:val="36"/>
          <w:sz w:val="28"/>
          <w:szCs w:val="28"/>
        </w:rPr>
        <w:t xml:space="preserve">Минфина России от 08.06.2020 № 99н </w:t>
      </w:r>
      <w:r>
        <w:rPr>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p>
    <w:p w:rsidR="00904141" w:rsidRDefault="00904141" w:rsidP="00904141">
      <w:pPr>
        <w:pStyle w:val="ConsNormal"/>
        <w:ind w:right="0" w:firstLine="851"/>
        <w:jc w:val="both"/>
        <w:rPr>
          <w:rFonts w:ascii="Times New Roman" w:hAnsi="Times New Roman" w:cs="Times New Roman"/>
          <w:sz w:val="28"/>
          <w:szCs w:val="28"/>
        </w:rPr>
      </w:pPr>
    </w:p>
    <w:p w:rsidR="00904141" w:rsidRDefault="00904141" w:rsidP="00904141">
      <w:pPr>
        <w:pStyle w:val="ConsNormal"/>
        <w:widowControl/>
        <w:numPr>
          <w:ilvl w:val="0"/>
          <w:numId w:val="1"/>
        </w:numPr>
        <w:ind w:left="0" w:right="0" w:firstLine="0"/>
        <w:jc w:val="center"/>
        <w:rPr>
          <w:rFonts w:ascii="Times New Roman" w:hAnsi="Times New Roman" w:cs="Times New Roman"/>
          <w:b/>
          <w:sz w:val="28"/>
          <w:szCs w:val="28"/>
        </w:rPr>
      </w:pPr>
      <w:r>
        <w:rPr>
          <w:rFonts w:ascii="Times New Roman" w:hAnsi="Times New Roman" w:cs="Times New Roman"/>
          <w:b/>
          <w:sz w:val="28"/>
          <w:szCs w:val="28"/>
        </w:rPr>
        <w:t>Прогноз доходов местного бюджета</w:t>
      </w:r>
    </w:p>
    <w:p w:rsidR="00904141" w:rsidRDefault="00904141" w:rsidP="00904141">
      <w:pPr>
        <w:pStyle w:val="ConsNormal"/>
        <w:widowControl/>
        <w:ind w:right="0" w:firstLine="0"/>
        <w:rPr>
          <w:rFonts w:ascii="Times New Roman" w:hAnsi="Times New Roman" w:cs="Times New Roman"/>
          <w:b/>
          <w:sz w:val="28"/>
          <w:szCs w:val="28"/>
        </w:rPr>
      </w:pPr>
    </w:p>
    <w:p w:rsidR="00904141" w:rsidRDefault="00904141" w:rsidP="00904141">
      <w:pPr>
        <w:shd w:val="clear" w:color="auto" w:fill="FFFFFF"/>
        <w:tabs>
          <w:tab w:val="left" w:pos="5812"/>
        </w:tabs>
        <w:ind w:firstLine="709"/>
        <w:jc w:val="both"/>
        <w:rPr>
          <w:rFonts w:eastAsia="Calibri"/>
        </w:rPr>
      </w:pPr>
      <w:r>
        <w:rPr>
          <w:rFonts w:eastAsia="Calibri"/>
        </w:rPr>
        <w:t xml:space="preserve">Прогнозируемый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Pr>
          <w:rFonts w:eastAsia="Calibri"/>
        </w:rPr>
        <w:lastRenderedPageBreak/>
        <w:t>в соответствии со статьями 227, 227.1 и 228 Налогового кодекса Российской Федерации;</w:t>
      </w:r>
    </w:p>
    <w:p w:rsidR="00904141" w:rsidRDefault="00904141" w:rsidP="00904141">
      <w:pPr>
        <w:shd w:val="clear" w:color="auto" w:fill="FFFFFF"/>
        <w:tabs>
          <w:tab w:val="left" w:pos="5812"/>
        </w:tabs>
        <w:jc w:val="both"/>
        <w:rPr>
          <w:rFonts w:eastAsia="Calibri"/>
        </w:rPr>
      </w:pPr>
      <w:r>
        <w:rPr>
          <w:rFonts w:eastAsia="Calibri"/>
        </w:rPr>
        <w:t>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единого сельскохозяйственного налога; налога на имущество физических лиц в бюджет поселения определены на основании сведений, представлены Управлением  Федеральной налоговой службы по Оренбургской области.</w:t>
      </w:r>
    </w:p>
    <w:p w:rsidR="00904141" w:rsidRDefault="00904141" w:rsidP="00904141">
      <w:pPr>
        <w:spacing w:before="60" w:after="60"/>
        <w:ind w:firstLine="567"/>
        <w:jc w:val="both"/>
      </w:pPr>
      <w:r>
        <w:rPr>
          <w:rFonts w:eastAsia="Calibri"/>
        </w:rPr>
        <w:t xml:space="preserve">       </w:t>
      </w:r>
      <w:r>
        <w:t xml:space="preserve">В отношении земельного налога, взимаемого по ставкам, установленным в соответствии с подпунктом 1 пункта 1 статьи 394 Налогового кодекса Российской Федерации, прогноз поступлений рассчитывается по следующей формуле: </w:t>
      </w:r>
    </w:p>
    <w:p w:rsidR="00904141" w:rsidRDefault="00904141" w:rsidP="00904141">
      <w:pPr>
        <w:spacing w:before="60" w:after="60"/>
        <w:ind w:firstLine="567"/>
        <w:jc w:val="both"/>
      </w:pPr>
    </w:p>
    <w:p w:rsidR="00904141" w:rsidRDefault="00904141" w:rsidP="00904141">
      <w:pPr>
        <w:spacing w:before="60" w:after="60"/>
        <w:ind w:firstLine="567"/>
        <w:jc w:val="center"/>
      </w:pPr>
      <w:r>
        <w:t>ЗН</w:t>
      </w:r>
      <w:proofErr w:type="gramStart"/>
      <w:r>
        <w:rPr>
          <w:vertAlign w:val="subscript"/>
        </w:rPr>
        <w:t>1</w:t>
      </w:r>
      <w:proofErr w:type="gramEnd"/>
      <w:r>
        <w:t xml:space="preserve"> = КС</w:t>
      </w:r>
      <w:r>
        <w:rPr>
          <w:vertAlign w:val="subscript"/>
        </w:rPr>
        <w:t>1</w:t>
      </w:r>
      <w:r>
        <w:t xml:space="preserve"> х С</w:t>
      </w:r>
      <w:r>
        <w:rPr>
          <w:vertAlign w:val="subscript"/>
        </w:rPr>
        <w:t>1</w:t>
      </w:r>
      <w:r>
        <w:t xml:space="preserve"> х К</w:t>
      </w:r>
      <w:r>
        <w:rPr>
          <w:vertAlign w:val="subscript"/>
        </w:rPr>
        <w:t>1</w:t>
      </w:r>
      <w:r>
        <w:t>, где:</w:t>
      </w:r>
    </w:p>
    <w:p w:rsidR="00904141" w:rsidRDefault="00904141" w:rsidP="00904141">
      <w:pPr>
        <w:tabs>
          <w:tab w:val="left" w:pos="696"/>
        </w:tabs>
        <w:spacing w:before="60" w:after="60"/>
        <w:ind w:firstLine="567"/>
        <w:jc w:val="both"/>
      </w:pPr>
      <w:r>
        <w:t>ЗН</w:t>
      </w:r>
      <w:proofErr w:type="gramStart"/>
      <w:r>
        <w:rPr>
          <w:vertAlign w:val="subscript"/>
        </w:rPr>
        <w:t>1</w:t>
      </w:r>
      <w:proofErr w:type="gramEnd"/>
      <w:r>
        <w:t xml:space="preserve"> – земельный налог;</w:t>
      </w:r>
    </w:p>
    <w:p w:rsidR="00904141" w:rsidRDefault="00904141" w:rsidP="00904141">
      <w:pPr>
        <w:tabs>
          <w:tab w:val="left" w:pos="696"/>
        </w:tabs>
        <w:spacing w:before="60" w:after="60"/>
        <w:ind w:firstLine="567"/>
        <w:jc w:val="both"/>
      </w:pPr>
      <w:r>
        <w:t>КС</w:t>
      </w:r>
      <w:proofErr w:type="gramStart"/>
      <w:r>
        <w:rPr>
          <w:vertAlign w:val="subscript"/>
        </w:rPr>
        <w:t>1</w:t>
      </w:r>
      <w:proofErr w:type="gramEnd"/>
      <w: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2020 года;</w:t>
      </w:r>
    </w:p>
    <w:p w:rsidR="00904141" w:rsidRDefault="00904141" w:rsidP="00904141">
      <w:pPr>
        <w:spacing w:before="60" w:after="60"/>
        <w:ind w:firstLine="567"/>
        <w:jc w:val="both"/>
      </w:pPr>
      <w:r>
        <w:t>С</w:t>
      </w:r>
      <w:proofErr w:type="gramStart"/>
      <w:r>
        <w:rPr>
          <w:vertAlign w:val="subscript"/>
        </w:rPr>
        <w:t>1</w:t>
      </w:r>
      <w:proofErr w:type="gramEnd"/>
      <w:r>
        <w:t xml:space="preserve"> – максимально возможная ставка, установленная в соответствии со статьей 394 Налогового кодекса Российской Федерации;</w:t>
      </w:r>
    </w:p>
    <w:p w:rsidR="00904141" w:rsidRDefault="00904141" w:rsidP="00904141">
      <w:pPr>
        <w:spacing w:before="60" w:after="60"/>
        <w:ind w:firstLine="567"/>
        <w:jc w:val="both"/>
      </w:pPr>
      <w:r>
        <w:t>К</w:t>
      </w:r>
      <w:proofErr w:type="gramStart"/>
      <w:r>
        <w:rPr>
          <w:vertAlign w:val="subscript"/>
        </w:rPr>
        <w:t>1</w:t>
      </w:r>
      <w:proofErr w:type="gramEnd"/>
      <w:r>
        <w:t xml:space="preserve"> – коэффициент к максимально возможной ставке, установленной в соответствии со статьей 394 Налогового кодекса Российской Федерации, на 2021 – 2023 годы для городских округов – в размере 1, для муниципальных районов – в размере 0,5. </w:t>
      </w:r>
    </w:p>
    <w:p w:rsidR="00904141" w:rsidRDefault="00904141" w:rsidP="00904141">
      <w:pPr>
        <w:spacing w:before="60" w:after="60"/>
        <w:ind w:firstLine="567"/>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904141" w:rsidRDefault="00904141" w:rsidP="00904141">
      <w:pPr>
        <w:spacing w:before="60" w:after="60"/>
        <w:ind w:firstLine="567"/>
        <w:jc w:val="both"/>
      </w:pPr>
    </w:p>
    <w:p w:rsidR="00904141" w:rsidRDefault="00904141" w:rsidP="00904141">
      <w:pPr>
        <w:spacing w:before="60" w:after="60"/>
        <w:ind w:firstLine="567"/>
        <w:jc w:val="center"/>
      </w:pPr>
      <w:r>
        <w:t>ЗН</w:t>
      </w:r>
      <w:proofErr w:type="gramStart"/>
      <w:r>
        <w:rPr>
          <w:vertAlign w:val="subscript"/>
        </w:rPr>
        <w:t>2</w:t>
      </w:r>
      <w:proofErr w:type="gramEnd"/>
      <w:r>
        <w:t xml:space="preserve"> = КС</w:t>
      </w:r>
      <w:r>
        <w:rPr>
          <w:vertAlign w:val="subscript"/>
        </w:rPr>
        <w:t>2</w:t>
      </w:r>
      <w:r>
        <w:t xml:space="preserve"> х С</w:t>
      </w:r>
      <w:r>
        <w:rPr>
          <w:vertAlign w:val="subscript"/>
        </w:rPr>
        <w:t>2</w:t>
      </w:r>
      <w:r>
        <w:t xml:space="preserve"> х К</w:t>
      </w:r>
      <w:r>
        <w:rPr>
          <w:vertAlign w:val="subscript"/>
        </w:rPr>
        <w:t>2</w:t>
      </w:r>
      <w:r>
        <w:t>, где:</w:t>
      </w:r>
    </w:p>
    <w:p w:rsidR="00904141" w:rsidRDefault="00904141" w:rsidP="00904141">
      <w:pPr>
        <w:spacing w:before="60" w:after="60"/>
        <w:ind w:firstLine="567"/>
        <w:jc w:val="center"/>
      </w:pPr>
    </w:p>
    <w:p w:rsidR="00904141" w:rsidRDefault="00904141" w:rsidP="00904141">
      <w:pPr>
        <w:tabs>
          <w:tab w:val="left" w:pos="696"/>
        </w:tabs>
        <w:spacing w:before="60" w:after="60"/>
        <w:ind w:firstLine="567"/>
        <w:jc w:val="both"/>
      </w:pPr>
      <w:r>
        <w:t>ЗН</w:t>
      </w:r>
      <w:proofErr w:type="gramStart"/>
      <w:r>
        <w:rPr>
          <w:vertAlign w:val="subscript"/>
        </w:rPr>
        <w:t>2</w:t>
      </w:r>
      <w:proofErr w:type="gramEnd"/>
      <w:r>
        <w:t xml:space="preserve"> – земельный налог;</w:t>
      </w:r>
    </w:p>
    <w:p w:rsidR="00904141" w:rsidRDefault="00904141" w:rsidP="00904141">
      <w:pPr>
        <w:spacing w:before="60" w:after="60"/>
        <w:ind w:firstLine="567"/>
        <w:jc w:val="both"/>
      </w:pPr>
      <w:r>
        <w:t>КС</w:t>
      </w:r>
      <w:proofErr w:type="gramStart"/>
      <w:r>
        <w:rPr>
          <w:vertAlign w:val="subscript"/>
        </w:rPr>
        <w:t>2</w:t>
      </w:r>
      <w:proofErr w:type="gramEnd"/>
      <w: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2020 года;</w:t>
      </w:r>
    </w:p>
    <w:p w:rsidR="00904141" w:rsidRDefault="00904141" w:rsidP="00904141">
      <w:pPr>
        <w:tabs>
          <w:tab w:val="left" w:pos="567"/>
        </w:tabs>
        <w:spacing w:before="60" w:after="60"/>
        <w:ind w:firstLine="567"/>
        <w:jc w:val="both"/>
      </w:pPr>
      <w:r>
        <w:t>С</w:t>
      </w:r>
      <w:proofErr w:type="gramStart"/>
      <w:r>
        <w:rPr>
          <w:vertAlign w:val="subscript"/>
        </w:rPr>
        <w:t>2</w:t>
      </w:r>
      <w:proofErr w:type="gramEnd"/>
      <w:r>
        <w:t xml:space="preserve"> – максимально возможная ставка, установленная статьей 394 Налогового кодекса Российской Федерации;</w:t>
      </w:r>
    </w:p>
    <w:p w:rsidR="00904141" w:rsidRDefault="00904141" w:rsidP="00904141">
      <w:pPr>
        <w:spacing w:before="60" w:after="60"/>
        <w:ind w:firstLine="567"/>
        <w:jc w:val="both"/>
      </w:pPr>
      <w:r>
        <w:lastRenderedPageBreak/>
        <w:t>К</w:t>
      </w:r>
      <w:proofErr w:type="gramStart"/>
      <w:r>
        <w:rPr>
          <w:vertAlign w:val="subscript"/>
        </w:rPr>
        <w:t>2</w:t>
      </w:r>
      <w:proofErr w:type="gramEnd"/>
      <w:r>
        <w:t xml:space="preserve"> – коэффициент к максимально возможной ставке, установленной в соответствии со статьей 394 Налогового кодекса Российской Федерации, на 2021 год – в размере 0,75348; на 2022 год – 0,77072; на 2023 год – 0,79228. </w:t>
      </w:r>
    </w:p>
    <w:p w:rsidR="00904141" w:rsidRDefault="00904141" w:rsidP="0090414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Доходы от уплаты акцизов </w:t>
      </w:r>
      <w:r>
        <w:rPr>
          <w:rFonts w:ascii="Times New Roman" w:eastAsia="Calibri" w:hAnsi="Times New Roman" w:cs="Times New Roman"/>
          <w:sz w:val="28"/>
          <w:szCs w:val="28"/>
          <w:lang w:eastAsia="en-US"/>
        </w:rPr>
        <w:t>на автомобильный и прямогонный бензин, дизельное топливо, моторные масла для дизельных и (или) карбюраторных (</w:t>
      </w:r>
      <w:proofErr w:type="spellStart"/>
      <w:r>
        <w:rPr>
          <w:rFonts w:ascii="Times New Roman" w:eastAsia="Calibri" w:hAnsi="Times New Roman" w:cs="Times New Roman"/>
          <w:sz w:val="28"/>
          <w:szCs w:val="28"/>
          <w:lang w:eastAsia="en-US"/>
        </w:rPr>
        <w:t>инжекторных</w:t>
      </w:r>
      <w:proofErr w:type="spellEnd"/>
      <w:r>
        <w:rPr>
          <w:rFonts w:ascii="Times New Roman" w:eastAsia="Calibri" w:hAnsi="Times New Roman" w:cs="Times New Roman"/>
          <w:sz w:val="28"/>
          <w:szCs w:val="28"/>
          <w:lang w:eastAsia="en-US"/>
        </w:rPr>
        <w:t xml:space="preserve">) двигателей, производимые на территории Российской Федерации, </w:t>
      </w:r>
      <w:r>
        <w:rPr>
          <w:rFonts w:ascii="Times New Roman" w:hAnsi="Times New Roman" w:cs="Times New Roman"/>
          <w:sz w:val="28"/>
          <w:szCs w:val="28"/>
        </w:rPr>
        <w:t>прогнозируются по данным администратора доходов.</w:t>
      </w:r>
    </w:p>
    <w:p w:rsidR="00904141" w:rsidRDefault="00904141" w:rsidP="00904141">
      <w:pPr>
        <w:ind w:firstLine="709"/>
        <w:jc w:val="both"/>
      </w:pPr>
      <w:r>
        <w:t>6.</w:t>
      </w:r>
      <w:r>
        <w:rPr>
          <w:color w:val="000000"/>
        </w:rPr>
        <w:t xml:space="preserve"> </w:t>
      </w:r>
      <w:r>
        <w:t xml:space="preserve">Безвозмездные поступления в бюджет сельского поселения прогнозируются исходя из налогового потенциала сельского поселения в соответствии с методикой, разрабатываемой финансовым органом муниципального района </w:t>
      </w:r>
    </w:p>
    <w:p w:rsidR="00904141" w:rsidRDefault="00904141" w:rsidP="00904141">
      <w:pPr>
        <w:ind w:firstLine="709"/>
        <w:jc w:val="both"/>
      </w:pPr>
      <w:r>
        <w:t xml:space="preserve">7. Прогнозирование доходов местного бюджета осуществляется в тысячах рублей. </w:t>
      </w:r>
    </w:p>
    <w:p w:rsidR="00904141" w:rsidRDefault="00904141" w:rsidP="00904141">
      <w:pPr>
        <w:jc w:val="both"/>
      </w:pPr>
    </w:p>
    <w:p w:rsidR="00904141" w:rsidRDefault="00904141" w:rsidP="00904141">
      <w:pPr>
        <w:ind w:firstLine="709"/>
        <w:jc w:val="both"/>
        <w:rPr>
          <w:b/>
        </w:rPr>
      </w:pPr>
      <w:r>
        <w:rPr>
          <w:b/>
          <w:lang w:val="en-US"/>
        </w:rPr>
        <w:t>II</w:t>
      </w:r>
      <w:r>
        <w:rPr>
          <w:b/>
        </w:rPr>
        <w:t>. Планирование бюджетных ассигнований местного бюджета</w:t>
      </w:r>
    </w:p>
    <w:p w:rsidR="00904141" w:rsidRDefault="00904141" w:rsidP="00904141">
      <w:pPr>
        <w:jc w:val="both"/>
        <w:rPr>
          <w:b/>
        </w:rPr>
      </w:pPr>
    </w:p>
    <w:p w:rsidR="00904141" w:rsidRDefault="00904141" w:rsidP="00904141">
      <w:pPr>
        <w:pStyle w:val="a4"/>
        <w:numPr>
          <w:ilvl w:val="0"/>
          <w:numId w:val="2"/>
        </w:numPr>
        <w:ind w:left="0" w:firstLine="567"/>
        <w:jc w:val="both"/>
        <w:rPr>
          <w:color w:val="000000"/>
          <w:sz w:val="28"/>
          <w:szCs w:val="28"/>
        </w:rPr>
      </w:pPr>
      <w:r>
        <w:rPr>
          <w:color w:val="000000"/>
          <w:sz w:val="28"/>
          <w:szCs w:val="28"/>
        </w:rPr>
        <w:t>Планирование бюджетных ассигнований производится в соответствии с расходными обязательствами муниципального образования Рыбкинский  сельсовет Новосергиевского района Оренбургской области, исполнение которых осуществляется за счет средств местного бюджета, раздельно по бюджетным ассигнованиям на исполнение действующих и принимаемых расходных обязательств муниципального образования.</w:t>
      </w:r>
    </w:p>
    <w:p w:rsidR="00904141" w:rsidRDefault="00904141" w:rsidP="00904141">
      <w:pPr>
        <w:pStyle w:val="a4"/>
        <w:ind w:firstLine="567"/>
        <w:jc w:val="both"/>
        <w:rPr>
          <w:color w:val="000000"/>
          <w:sz w:val="28"/>
          <w:szCs w:val="28"/>
        </w:rPr>
      </w:pPr>
      <w:r>
        <w:rPr>
          <w:color w:val="000000"/>
          <w:sz w:val="28"/>
          <w:szCs w:val="28"/>
        </w:rPr>
        <w:t>В состав бюджетных ассигнований на исполнение действующих расходных обязательств муниципального образования Рыбкинский сельсовет Новосергиевского района Оренбургской области включаются бюджетные ассигнования по перечню расходных обязательств,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2021–2023 годах. При этом объем бюджетных ассигнований на исполнение действующих расходных обязательств муниципального образования Рыбкинский сельсовет Новосергиевского района Оренбургской области может рассчитываться с учетом индексации (изменения), если это предусмотрено данными нормативными правовыми актами, договорами (соглашениями).</w:t>
      </w:r>
    </w:p>
    <w:p w:rsidR="00904141" w:rsidRDefault="00904141" w:rsidP="00904141">
      <w:pPr>
        <w:pStyle w:val="a4"/>
        <w:numPr>
          <w:ilvl w:val="0"/>
          <w:numId w:val="2"/>
        </w:numPr>
        <w:ind w:left="0" w:firstLine="567"/>
        <w:jc w:val="both"/>
        <w:rPr>
          <w:sz w:val="28"/>
          <w:szCs w:val="28"/>
        </w:rPr>
      </w:pPr>
      <w:bookmarkStart w:id="0" w:name="Par526"/>
      <w:bookmarkEnd w:id="0"/>
      <w:r>
        <w:rPr>
          <w:color w:val="000000"/>
          <w:sz w:val="28"/>
          <w:szCs w:val="28"/>
        </w:rPr>
        <w:t>В п</w:t>
      </w:r>
      <w:r>
        <w:rPr>
          <w:sz w:val="28"/>
          <w:szCs w:val="28"/>
        </w:rPr>
        <w:t>редельные объемы бюджетных ассигнований</w:t>
      </w:r>
      <w:r>
        <w:rPr>
          <w:color w:val="000000"/>
          <w:sz w:val="28"/>
          <w:szCs w:val="28"/>
        </w:rPr>
        <w:t xml:space="preserve"> </w:t>
      </w:r>
      <w:r>
        <w:rPr>
          <w:bCs/>
          <w:sz w:val="28"/>
          <w:szCs w:val="28"/>
        </w:rPr>
        <w:t xml:space="preserve">местного бюджета </w:t>
      </w:r>
      <w:r>
        <w:rPr>
          <w:sz w:val="28"/>
          <w:szCs w:val="28"/>
        </w:rPr>
        <w:t xml:space="preserve">включены первоочередные расходы </w:t>
      </w:r>
      <w:proofErr w:type="gramStart"/>
      <w:r>
        <w:rPr>
          <w:sz w:val="28"/>
          <w:szCs w:val="28"/>
        </w:rPr>
        <w:t>на</w:t>
      </w:r>
      <w:proofErr w:type="gramEnd"/>
      <w:r>
        <w:rPr>
          <w:sz w:val="28"/>
          <w:szCs w:val="28"/>
        </w:rPr>
        <w:t xml:space="preserve">: </w:t>
      </w:r>
    </w:p>
    <w:p w:rsidR="00904141" w:rsidRDefault="00904141" w:rsidP="00904141">
      <w:pPr>
        <w:pStyle w:val="a4"/>
        <w:ind w:firstLine="567"/>
        <w:jc w:val="both"/>
        <w:rPr>
          <w:sz w:val="28"/>
          <w:szCs w:val="28"/>
        </w:rPr>
      </w:pPr>
      <w:r>
        <w:rPr>
          <w:sz w:val="28"/>
          <w:szCs w:val="28"/>
        </w:rPr>
        <w:t xml:space="preserve">оплату труда с начислениями всех категорий работников; </w:t>
      </w:r>
    </w:p>
    <w:p w:rsidR="00904141" w:rsidRDefault="00904141" w:rsidP="00904141">
      <w:pPr>
        <w:pStyle w:val="a4"/>
        <w:ind w:firstLine="567"/>
        <w:jc w:val="both"/>
        <w:rPr>
          <w:sz w:val="28"/>
          <w:szCs w:val="28"/>
        </w:rPr>
      </w:pPr>
      <w:r>
        <w:rPr>
          <w:sz w:val="28"/>
          <w:szCs w:val="28"/>
        </w:rPr>
        <w:t xml:space="preserve">коммунальные услуги; </w:t>
      </w:r>
    </w:p>
    <w:p w:rsidR="00904141" w:rsidRDefault="00904141" w:rsidP="00904141">
      <w:pPr>
        <w:pStyle w:val="a4"/>
        <w:ind w:firstLine="567"/>
        <w:jc w:val="both"/>
        <w:rPr>
          <w:sz w:val="28"/>
          <w:szCs w:val="28"/>
        </w:rPr>
      </w:pPr>
      <w:r>
        <w:rPr>
          <w:sz w:val="28"/>
          <w:szCs w:val="28"/>
        </w:rPr>
        <w:t xml:space="preserve">услуги связи; </w:t>
      </w:r>
    </w:p>
    <w:p w:rsidR="00904141" w:rsidRDefault="00904141" w:rsidP="00904141">
      <w:pPr>
        <w:pStyle w:val="a4"/>
        <w:ind w:firstLine="567"/>
        <w:jc w:val="both"/>
        <w:rPr>
          <w:sz w:val="28"/>
          <w:szCs w:val="28"/>
        </w:rPr>
      </w:pPr>
      <w:r>
        <w:rPr>
          <w:sz w:val="28"/>
          <w:szCs w:val="28"/>
        </w:rPr>
        <w:t>транспортные услуги;</w:t>
      </w:r>
    </w:p>
    <w:p w:rsidR="00904141" w:rsidRDefault="00904141" w:rsidP="00904141">
      <w:pPr>
        <w:pStyle w:val="a4"/>
        <w:ind w:firstLine="567"/>
        <w:jc w:val="both"/>
        <w:rPr>
          <w:sz w:val="28"/>
          <w:szCs w:val="28"/>
        </w:rPr>
      </w:pPr>
      <w:r>
        <w:rPr>
          <w:sz w:val="28"/>
          <w:szCs w:val="28"/>
        </w:rPr>
        <w:t>услуги по содержанию имущества;</w:t>
      </w:r>
    </w:p>
    <w:p w:rsidR="00904141" w:rsidRDefault="00904141" w:rsidP="00904141">
      <w:pPr>
        <w:pStyle w:val="a4"/>
        <w:ind w:firstLine="567"/>
        <w:jc w:val="both"/>
        <w:rPr>
          <w:sz w:val="28"/>
          <w:szCs w:val="28"/>
        </w:rPr>
      </w:pPr>
      <w:r>
        <w:rPr>
          <w:sz w:val="28"/>
          <w:szCs w:val="28"/>
        </w:rPr>
        <w:t xml:space="preserve">увеличение стоимости основных средств и материальных запасов; </w:t>
      </w:r>
    </w:p>
    <w:p w:rsidR="00904141" w:rsidRDefault="00904141" w:rsidP="00904141">
      <w:pPr>
        <w:pStyle w:val="a4"/>
        <w:ind w:firstLine="567"/>
        <w:jc w:val="both"/>
        <w:rPr>
          <w:sz w:val="28"/>
          <w:szCs w:val="28"/>
        </w:rPr>
      </w:pPr>
      <w:r>
        <w:rPr>
          <w:sz w:val="28"/>
          <w:szCs w:val="28"/>
        </w:rPr>
        <w:t xml:space="preserve">уплату налогов; </w:t>
      </w:r>
    </w:p>
    <w:p w:rsidR="00904141" w:rsidRDefault="00904141" w:rsidP="00904141">
      <w:pPr>
        <w:pStyle w:val="a4"/>
        <w:ind w:firstLine="567"/>
        <w:jc w:val="both"/>
        <w:rPr>
          <w:sz w:val="28"/>
          <w:szCs w:val="28"/>
        </w:rPr>
      </w:pPr>
      <w:r>
        <w:rPr>
          <w:sz w:val="28"/>
          <w:szCs w:val="28"/>
        </w:rPr>
        <w:lastRenderedPageBreak/>
        <w:t>межбюджетные трансферты, предоставляемые муниципальному району;</w:t>
      </w:r>
    </w:p>
    <w:p w:rsidR="00904141" w:rsidRDefault="00904141" w:rsidP="00904141">
      <w:pPr>
        <w:numPr>
          <w:ilvl w:val="0"/>
          <w:numId w:val="2"/>
        </w:numPr>
        <w:ind w:left="0" w:firstLine="567"/>
        <w:jc w:val="both"/>
      </w:pPr>
      <w:r>
        <w:t>Формирование расходов бюджета поселения на 2021 - 2023 годы будет осуществляться исходя из следующих приоритетов.</w:t>
      </w:r>
    </w:p>
    <w:p w:rsidR="00904141" w:rsidRDefault="00904141" w:rsidP="00904141">
      <w:pPr>
        <w:ind w:firstLine="567"/>
        <w:jc w:val="both"/>
      </w:pPr>
      <w:r>
        <w:t xml:space="preserve">Объем расходов на оплату труда должен учитывать обеспечение минимального </w:t>
      </w:r>
      <w:proofErr w:type="gramStart"/>
      <w:r>
        <w:t>размера оплаты труда</w:t>
      </w:r>
      <w:proofErr w:type="gramEnd"/>
      <w:r>
        <w:t xml:space="preserve"> в соответствии с решениями, принятыми на федеральном уровне.</w:t>
      </w:r>
    </w:p>
    <w:p w:rsidR="00904141" w:rsidRDefault="00904141" w:rsidP="00904141">
      <w:pPr>
        <w:ind w:firstLine="567"/>
        <w:jc w:val="both"/>
      </w:pPr>
      <w:r>
        <w:t>Расходы на коммунальные услуги в 2021 году будут предусмотрены с учетом увеличения общего объема расходов на 5,6 процента.</w:t>
      </w:r>
    </w:p>
    <w:p w:rsidR="00904141" w:rsidRDefault="00904141" w:rsidP="00904141">
      <w:pPr>
        <w:ind w:firstLine="567"/>
        <w:jc w:val="both"/>
      </w:pPr>
      <w: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904141" w:rsidRDefault="00904141" w:rsidP="00904141">
      <w:pPr>
        <w:ind w:firstLine="567"/>
        <w:jc w:val="both"/>
      </w:pPr>
      <w:r>
        <w:t>Будет продолжено проведение ежегодной оценки эффективности муниципальных программ на этапе формирования проекта бюджета поселения и на этапе оценки результатов исполнения бюджета, ежегодной оценки потребности в оказании муниципальных услуг (дважды в год) и оценки эффективности результативности предоставления межбюджетных субсидий.</w:t>
      </w:r>
    </w:p>
    <w:p w:rsidR="00904141" w:rsidRDefault="00904141" w:rsidP="00904141">
      <w:pPr>
        <w:pStyle w:val="a4"/>
        <w:ind w:firstLine="567"/>
        <w:jc w:val="both"/>
        <w:rPr>
          <w:sz w:val="28"/>
          <w:szCs w:val="28"/>
        </w:rPr>
      </w:pPr>
      <w:r>
        <w:rPr>
          <w:sz w:val="28"/>
          <w:szCs w:val="28"/>
        </w:rPr>
        <w:t>Затраты на уплату налога на имущество и земельного налога (далее – имущественные налоги) рассчитываются в соответствии с налоговым законодательством.</w:t>
      </w:r>
    </w:p>
    <w:p w:rsidR="00904141" w:rsidRDefault="00904141" w:rsidP="00904141">
      <w:pPr>
        <w:pStyle w:val="a4"/>
        <w:ind w:firstLine="567"/>
        <w:jc w:val="both"/>
        <w:rPr>
          <w:sz w:val="28"/>
          <w:szCs w:val="28"/>
        </w:rPr>
      </w:pPr>
      <w:r>
        <w:rPr>
          <w:sz w:val="28"/>
          <w:szCs w:val="28"/>
        </w:rPr>
        <w:t>Непрограммные расходы планируются исходя из обеспечения расходных обязательств сельского поселения, приоритетов развития и необходимости достижения результатов деятельности.</w:t>
      </w:r>
    </w:p>
    <w:p w:rsidR="00904141" w:rsidRDefault="00904141" w:rsidP="00904141">
      <w:pPr>
        <w:ind w:firstLine="567"/>
        <w:jc w:val="both"/>
        <w:rPr>
          <w:rFonts w:eastAsia="Calibri"/>
          <w:color w:val="000000"/>
          <w:lang w:eastAsia="en-US"/>
        </w:rPr>
      </w:pPr>
      <w:r>
        <w:t xml:space="preserve">Общий объем расходов местного бюджета на 2021 год и на плановый период 2022 и 2023 годов формируется </w:t>
      </w:r>
      <w:r>
        <w:rPr>
          <w:rFonts w:eastAsia="Calibri"/>
          <w:color w:val="000000"/>
          <w:lang w:eastAsia="en-US"/>
        </w:rPr>
        <w:t>– без дефицита.</w:t>
      </w:r>
    </w:p>
    <w:p w:rsidR="00904141" w:rsidRDefault="00904141" w:rsidP="00904141">
      <w:pPr>
        <w:ind w:firstLine="567"/>
        <w:jc w:val="both"/>
        <w:rPr>
          <w:rFonts w:eastAsia="Calibri"/>
          <w:color w:val="000000"/>
          <w:lang w:eastAsia="en-US"/>
        </w:rPr>
      </w:pPr>
    </w:p>
    <w:p w:rsidR="00904141" w:rsidRDefault="00904141" w:rsidP="00904141">
      <w:pPr>
        <w:ind w:firstLine="567"/>
        <w:jc w:val="both"/>
        <w:rPr>
          <w:rFonts w:eastAsia="Calibri"/>
          <w:color w:val="000000"/>
          <w:lang w:eastAsia="en-US"/>
        </w:rPr>
      </w:pPr>
    </w:p>
    <w:p w:rsidR="00904141" w:rsidRDefault="00904141" w:rsidP="00904141">
      <w:pPr>
        <w:ind w:firstLine="567"/>
        <w:jc w:val="both"/>
        <w:rPr>
          <w:rFonts w:eastAsia="Calibri"/>
          <w:color w:val="000000"/>
          <w:lang w:eastAsia="en-US"/>
        </w:rPr>
      </w:pPr>
    </w:p>
    <w:p w:rsidR="00904141" w:rsidRDefault="00904141" w:rsidP="00904141">
      <w:pPr>
        <w:ind w:firstLine="567"/>
        <w:jc w:val="both"/>
        <w:rPr>
          <w:rFonts w:eastAsia="Calibri"/>
          <w:color w:val="000000"/>
          <w:lang w:eastAsia="en-US"/>
        </w:rPr>
      </w:pPr>
    </w:p>
    <w:p w:rsidR="00150EBF" w:rsidRDefault="00150EBF">
      <w:bookmarkStart w:id="1" w:name="_GoBack"/>
      <w:bookmarkEnd w:id="1"/>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CD6"/>
    <w:multiLevelType w:val="hybridMultilevel"/>
    <w:tmpl w:val="0656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5E52BD"/>
    <w:multiLevelType w:val="hybridMultilevel"/>
    <w:tmpl w:val="0012E924"/>
    <w:lvl w:ilvl="0" w:tplc="DBC25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41"/>
    <w:rsid w:val="000053F4"/>
    <w:rsid w:val="0000607F"/>
    <w:rsid w:val="00006F7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14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4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904141"/>
    <w:rPr>
      <w:rFonts w:ascii="Times New Roman" w:eastAsia="Times New Roman" w:hAnsi="Times New Roman" w:cs="Times New Roman"/>
      <w:sz w:val="24"/>
      <w:szCs w:val="24"/>
      <w:lang w:eastAsia="ru-RU"/>
    </w:rPr>
  </w:style>
  <w:style w:type="paragraph" w:styleId="a4">
    <w:name w:val="No Spacing"/>
    <w:aliases w:val="2 стиль"/>
    <w:link w:val="a3"/>
    <w:uiPriority w:val="99"/>
    <w:qFormat/>
    <w:rsid w:val="00904141"/>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04141"/>
    <w:rPr>
      <w:rFonts w:ascii="Calibri" w:eastAsia="Times New Roman" w:hAnsi="Calibri" w:cs="Calibri"/>
      <w:szCs w:val="20"/>
      <w:lang w:eastAsia="ru-RU"/>
    </w:rPr>
  </w:style>
  <w:style w:type="paragraph" w:customStyle="1" w:styleId="ConsPlusNormal0">
    <w:name w:val="ConsPlusNormal"/>
    <w:link w:val="ConsPlusNormal"/>
    <w:qFormat/>
    <w:rsid w:val="0090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qFormat/>
    <w:rsid w:val="009041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4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904141"/>
    <w:rPr>
      <w:rFonts w:ascii="Times New Roman" w:eastAsia="Times New Roman" w:hAnsi="Times New Roman" w:cs="Times New Roman"/>
      <w:sz w:val="24"/>
      <w:szCs w:val="24"/>
      <w:lang w:eastAsia="ru-RU"/>
    </w:rPr>
  </w:style>
  <w:style w:type="paragraph" w:styleId="a4">
    <w:name w:val="No Spacing"/>
    <w:aliases w:val="2 стиль"/>
    <w:link w:val="a3"/>
    <w:uiPriority w:val="99"/>
    <w:qFormat/>
    <w:rsid w:val="00904141"/>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04141"/>
    <w:rPr>
      <w:rFonts w:ascii="Calibri" w:eastAsia="Times New Roman" w:hAnsi="Calibri" w:cs="Calibri"/>
      <w:szCs w:val="20"/>
      <w:lang w:eastAsia="ru-RU"/>
    </w:rPr>
  </w:style>
  <w:style w:type="paragraph" w:customStyle="1" w:styleId="ConsPlusNormal0">
    <w:name w:val="ConsPlusNormal"/>
    <w:link w:val="ConsPlusNormal"/>
    <w:qFormat/>
    <w:rsid w:val="0090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qFormat/>
    <w:rsid w:val="009041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2020-11-13T05:51:00Z</dcterms:created>
  <dcterms:modified xsi:type="dcterms:W3CDTF">2020-11-13T05:52:00Z</dcterms:modified>
</cp:coreProperties>
</file>