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CD" w:rsidRDefault="00CC4BCD" w:rsidP="00CC4BCD">
      <w:pPr>
        <w:ind w:firstLine="567"/>
        <w:jc w:val="both"/>
        <w:rPr>
          <w:b/>
          <w:color w:val="FF6600"/>
          <w:sz w:val="28"/>
          <w:szCs w:val="28"/>
        </w:rPr>
      </w:pPr>
      <w:r>
        <w:rPr>
          <w:b/>
          <w:sz w:val="28"/>
          <w:szCs w:val="28"/>
        </w:rPr>
        <w:t>СОВЕТ ДЕПУТАТОВ</w:t>
      </w:r>
    </w:p>
    <w:p w:rsidR="00CC4BCD" w:rsidRDefault="00CC4BCD" w:rsidP="00CC4BCD">
      <w:pPr>
        <w:tabs>
          <w:tab w:val="left" w:pos="4111"/>
        </w:tabs>
        <w:ind w:right="5101"/>
        <w:jc w:val="center"/>
        <w:rPr>
          <w:b/>
          <w:sz w:val="28"/>
          <w:szCs w:val="28"/>
        </w:rPr>
      </w:pPr>
      <w:r>
        <w:rPr>
          <w:b/>
          <w:sz w:val="28"/>
          <w:szCs w:val="28"/>
        </w:rPr>
        <w:t>муниципального</w:t>
      </w:r>
    </w:p>
    <w:p w:rsidR="00CC4BCD" w:rsidRDefault="00CC4BCD" w:rsidP="00CC4BCD">
      <w:pPr>
        <w:tabs>
          <w:tab w:val="left" w:pos="4111"/>
        </w:tabs>
        <w:ind w:right="5101"/>
        <w:jc w:val="center"/>
        <w:rPr>
          <w:b/>
          <w:sz w:val="28"/>
          <w:szCs w:val="28"/>
        </w:rPr>
      </w:pPr>
      <w:r>
        <w:rPr>
          <w:b/>
          <w:sz w:val="28"/>
          <w:szCs w:val="28"/>
        </w:rPr>
        <w:t>образования</w:t>
      </w:r>
    </w:p>
    <w:p w:rsidR="00CC4BCD" w:rsidRDefault="00CC4BCD" w:rsidP="00CC4BCD">
      <w:pPr>
        <w:tabs>
          <w:tab w:val="left" w:pos="4111"/>
        </w:tabs>
        <w:ind w:right="5101"/>
        <w:jc w:val="center"/>
        <w:rPr>
          <w:b/>
          <w:sz w:val="28"/>
          <w:szCs w:val="28"/>
        </w:rPr>
      </w:pPr>
      <w:r>
        <w:rPr>
          <w:b/>
          <w:sz w:val="28"/>
          <w:szCs w:val="28"/>
        </w:rPr>
        <w:t>Рыбкинский сельсовет</w:t>
      </w:r>
    </w:p>
    <w:p w:rsidR="00CC4BCD" w:rsidRDefault="00CC4BCD" w:rsidP="00CC4BCD">
      <w:pPr>
        <w:tabs>
          <w:tab w:val="left" w:pos="4111"/>
        </w:tabs>
        <w:ind w:right="5101"/>
        <w:jc w:val="center"/>
        <w:outlineLvl w:val="0"/>
        <w:rPr>
          <w:b/>
          <w:sz w:val="28"/>
          <w:szCs w:val="28"/>
        </w:rPr>
      </w:pPr>
      <w:r>
        <w:rPr>
          <w:b/>
          <w:sz w:val="28"/>
          <w:szCs w:val="28"/>
        </w:rPr>
        <w:t>Новосергиевского района</w:t>
      </w:r>
    </w:p>
    <w:p w:rsidR="00CC4BCD" w:rsidRDefault="00CC4BCD" w:rsidP="00CC4BCD">
      <w:pPr>
        <w:tabs>
          <w:tab w:val="left" w:pos="4111"/>
        </w:tabs>
        <w:ind w:right="5101"/>
        <w:jc w:val="center"/>
        <w:rPr>
          <w:b/>
          <w:sz w:val="28"/>
          <w:szCs w:val="28"/>
        </w:rPr>
      </w:pPr>
      <w:r>
        <w:rPr>
          <w:b/>
          <w:sz w:val="28"/>
          <w:szCs w:val="28"/>
        </w:rPr>
        <w:t>Оренбургской области</w:t>
      </w:r>
    </w:p>
    <w:p w:rsidR="00CC4BCD" w:rsidRDefault="00CC4BCD" w:rsidP="00CC4BCD">
      <w:pPr>
        <w:tabs>
          <w:tab w:val="left" w:pos="4111"/>
        </w:tabs>
        <w:ind w:right="5101"/>
        <w:jc w:val="center"/>
        <w:rPr>
          <w:sz w:val="28"/>
          <w:szCs w:val="28"/>
        </w:rPr>
      </w:pPr>
      <w:r>
        <w:rPr>
          <w:sz w:val="28"/>
          <w:szCs w:val="28"/>
        </w:rPr>
        <w:t xml:space="preserve">четвертый созыв </w:t>
      </w:r>
    </w:p>
    <w:p w:rsidR="00CC4BCD" w:rsidRDefault="00CC4BCD" w:rsidP="00CC4BCD">
      <w:pPr>
        <w:tabs>
          <w:tab w:val="left" w:pos="4111"/>
        </w:tabs>
        <w:ind w:right="5101"/>
        <w:jc w:val="center"/>
        <w:rPr>
          <w:b/>
          <w:sz w:val="28"/>
          <w:szCs w:val="28"/>
        </w:rPr>
      </w:pPr>
    </w:p>
    <w:p w:rsidR="00CC4BCD" w:rsidRDefault="00CC4BCD" w:rsidP="00CC4BCD">
      <w:pPr>
        <w:tabs>
          <w:tab w:val="left" w:pos="4111"/>
        </w:tabs>
        <w:ind w:right="5101"/>
        <w:jc w:val="center"/>
        <w:outlineLvl w:val="0"/>
        <w:rPr>
          <w:b/>
          <w:sz w:val="28"/>
          <w:szCs w:val="28"/>
        </w:rPr>
      </w:pPr>
      <w:r>
        <w:rPr>
          <w:b/>
          <w:sz w:val="28"/>
          <w:szCs w:val="28"/>
        </w:rPr>
        <w:t>РЕШЕНИЕ</w:t>
      </w:r>
    </w:p>
    <w:p w:rsidR="00CC4BCD" w:rsidRDefault="00CC4BCD" w:rsidP="00CC4BCD">
      <w:pPr>
        <w:tabs>
          <w:tab w:val="left" w:pos="4111"/>
        </w:tabs>
        <w:ind w:right="5101"/>
        <w:jc w:val="center"/>
        <w:outlineLvl w:val="0"/>
        <w:rPr>
          <w:b/>
          <w:sz w:val="28"/>
          <w:szCs w:val="28"/>
        </w:rPr>
      </w:pPr>
    </w:p>
    <w:p w:rsidR="00CC4BCD" w:rsidRDefault="00CC4BCD" w:rsidP="00CC4BCD">
      <w:pPr>
        <w:tabs>
          <w:tab w:val="left" w:pos="4111"/>
        </w:tabs>
        <w:ind w:right="5101"/>
        <w:jc w:val="center"/>
        <w:outlineLvl w:val="0"/>
        <w:rPr>
          <w:sz w:val="28"/>
          <w:szCs w:val="28"/>
        </w:rPr>
      </w:pPr>
      <w:r>
        <w:rPr>
          <w:sz w:val="28"/>
          <w:szCs w:val="28"/>
        </w:rPr>
        <w:t>16.09.2021 г. № 13/4  р.С.</w:t>
      </w:r>
    </w:p>
    <w:p w:rsidR="00CC4BCD" w:rsidRDefault="00CC4BCD" w:rsidP="00CC4BCD">
      <w:pPr>
        <w:pStyle w:val="ConsPlusTitle"/>
        <w:rPr>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85"/>
        <w:jc w:val="both"/>
        <w:rPr>
          <w:rFonts w:ascii="Verdana" w:eastAsia="Times New Roman" w:hAnsi="Verdana" w:cs="Courier New"/>
          <w:b/>
          <w:bCs/>
          <w:sz w:val="21"/>
          <w:szCs w:val="21"/>
        </w:rPr>
      </w:pPr>
      <w:r>
        <w:rPr>
          <w:rFonts w:eastAsia="Times New Roman"/>
          <w:bCs/>
        </w:rPr>
        <w:t>О муниципальном контроле на автомобильном транспорте и в дорожном хозяйстве на территории</w:t>
      </w:r>
      <w:r>
        <w:rPr>
          <w:rFonts w:eastAsia="Times New Roman"/>
          <w:b/>
          <w:bCs/>
        </w:rPr>
        <w:t xml:space="preserve"> </w:t>
      </w:r>
      <w:r>
        <w:rPr>
          <w:rFonts w:eastAsia="Times New Roman"/>
        </w:rPr>
        <w:t xml:space="preserve">муниципального образования Рыбкинский сельсовет Новосергиевского района Оренбургской области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Рыбкинский сельсовет Новосергиевского района Оренбургской области, Совет депутатов решил:</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Утвердить прилагаемые: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w:t>
      </w:r>
      <w:hyperlink r:id="rId5" w:anchor="p39" w:history="1">
        <w:r>
          <w:rPr>
            <w:rStyle w:val="a3"/>
            <w:rFonts w:eastAsia="Times New Roman"/>
            <w:color w:val="auto"/>
            <w:u w:val="none"/>
          </w:rPr>
          <w:t>Положение</w:t>
        </w:r>
      </w:hyperlink>
      <w:r>
        <w:rPr>
          <w:rFonts w:eastAsia="Times New Roman"/>
        </w:rPr>
        <w:t xml:space="preserve"> о муниципальном контроле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согласно приложению № 1;</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 ключевые </w:t>
      </w:r>
      <w:hyperlink r:id="rId6" w:anchor="p344" w:history="1">
        <w:r>
          <w:rPr>
            <w:rStyle w:val="a3"/>
            <w:rFonts w:eastAsia="Times New Roman"/>
            <w:color w:val="auto"/>
            <w:u w:val="none"/>
          </w:rPr>
          <w:t>показатели</w:t>
        </w:r>
      </w:hyperlink>
      <w:r>
        <w:rPr>
          <w:rFonts w:eastAsia="Times New Roman"/>
        </w:rPr>
        <w:t xml:space="preserve">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согласно приложению № 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3) </w:t>
      </w:r>
      <w:hyperlink r:id="rId7" w:anchor="p384" w:history="1">
        <w:r>
          <w:rPr>
            <w:rStyle w:val="a3"/>
            <w:rFonts w:eastAsia="Times New Roman"/>
            <w:color w:val="auto"/>
            <w:u w:val="none"/>
          </w:rPr>
          <w:t>перечень</w:t>
        </w:r>
      </w:hyperlink>
      <w:r>
        <w:rPr>
          <w:rFonts w:eastAsia="Times New Roman"/>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согласно приложению № 3.</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2. Решение вступает в силу с 01.01.2022 г.  и подлежит размещению на официальном сайте муниципального образования Рыбкинский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3. Контроль за исполнением настоящего решения возложить на главу администрации Колесникова Ю.П.</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Председатель Совета депутатов муниципального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образования Рыбкинский сельсовет                                                            Е.А.Капаций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 xml:space="preserve">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Глава администрации                                                                            Ю.П.Колесников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Рыбкинского сельсовета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Pr>
          <w:rFonts w:eastAsia="Times New Roman"/>
        </w:rPr>
        <w:t>Разослано: прокуратуру, в дело</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Рыбкинского сельсовета</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16.09.2021</w:t>
      </w:r>
      <w:r>
        <w:rPr>
          <w:rFonts w:ascii="Times New Roman" w:hAnsi="Times New Roman" w:cs="Times New Roman"/>
          <w:color w:val="FF0000"/>
          <w:sz w:val="24"/>
          <w:szCs w:val="24"/>
        </w:rPr>
        <w:t xml:space="preserve"> </w:t>
      </w:r>
      <w:r>
        <w:rPr>
          <w:rFonts w:ascii="Times New Roman" w:hAnsi="Times New Roman" w:cs="Times New Roman"/>
          <w:sz w:val="24"/>
          <w:szCs w:val="24"/>
        </w:rPr>
        <w:t>№ 13/4 р.С.</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hyperlink r:id="rId8" w:anchor="p39" w:history="1">
        <w:r>
          <w:rPr>
            <w:rStyle w:val="a3"/>
            <w:rFonts w:ascii="Times New Roman" w:hAnsi="Times New Roman" w:cs="Times New Roman"/>
            <w:b/>
            <w:color w:val="auto"/>
            <w:sz w:val="24"/>
            <w:szCs w:val="24"/>
            <w:u w:val="none"/>
          </w:rPr>
          <w:t>Положение</w:t>
        </w:r>
      </w:hyperlink>
      <w:r>
        <w:rPr>
          <w:rFonts w:ascii="Times New Roman" w:hAnsi="Times New Roman" w:cs="Times New Roman"/>
          <w:b/>
          <w:sz w:val="24"/>
          <w:szCs w:val="24"/>
        </w:rPr>
        <w:t xml:space="preserve"> </w:t>
      </w:r>
    </w:p>
    <w:p w:rsidR="00CC4BCD" w:rsidRDefault="00CC4BCD" w:rsidP="00CC4BC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 муниципальном контроле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CC4BCD" w:rsidRDefault="00CC4BCD" w:rsidP="00CC4BC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1. Общие положения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(далее - муниципальный контроль).</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Под муниципальным контролем понимается деятельность Администрации муниципального образования Рыбкинский сельсовет Новосергиевского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жизнь и здоровье граждан;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права, свободы и законные интересы граждан и организаций;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объекты транспортной инфраструктуры, как технические сооружения и имущественные комплексы;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перевозка грузов и пассажиров, как обеспечение услуг и экономическая деятельность.</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6. Органом местного самоуправления муниципального образования Рыбкинский сельсовет Новосергиевского района Оренбургской области, уполномоченным на </w:t>
      </w:r>
      <w:r>
        <w:rPr>
          <w:rFonts w:eastAsia="Times New Roman"/>
        </w:rPr>
        <w:lastRenderedPageBreak/>
        <w:t>осуществление муниципального контроля, является Администрация муниципального образования Рыбкинский сельсовет Новосергиевского района Оренбургской области  (далее -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От имени контрольного органа муниципальный контроль вправе осуществлять следующие должностные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руководитель (заместитель руководителя)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также - инспектор).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Предметом муниципального контроля является соблюдение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в области автомобильных дорог и дорожной деятельности, установленных в отношении автомобильных дорог местного значения: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Объектами муниципального контроля являются: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2. Управление рисками причинения вреда (ущерба) охраняемым законом ценностям при осуществлении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средний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умеренный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низкий риск.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21. Критериями отнесения объекта контроля к категории риска является: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22. В случае если объект контроля не отнесен к определенной категории риска, он считается отнесенным к категории низкого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23. Частота проведения плановых контрольных мероприятий устанавливается: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для объектов контроля, отнесенных к категории среднего риска - одно плановое контрольное мероприятие в 3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для объектов контроля, отнесенных к категории умеренного риска - одно плановое контрольное мероприятие в 4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24. Плановые контрольные мероприятия в отношении объектов контроля, отнесенных к категории низкого риска, не проводятся.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3. Профилактика рисков причинения вреда (ущерба) охраняемым законом ценностям при осуществлении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Глава 1. Организация профилактики нарушения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стимулирование добросовестного соблюдения обязательных требований всеми контролируемыми лицами;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муниципального образования Рыбкинский сельсовет Новосергиевского района Оренбургской области на очередной календарный год ежегодно, не позднее 20 декабря текущего года.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28. Утвержденная программа профилактики рисков причинения вреда размещается на официальном сайте муниципального образования Рыбкинский сельсовет </w:t>
      </w:r>
      <w:r>
        <w:rPr>
          <w:rFonts w:eastAsia="Times New Roman"/>
        </w:rPr>
        <w:lastRenderedPageBreak/>
        <w:t>Новосергиевского района Оренбургской области в информационно-телекоммуникационной сети Интернет (далее - официальный сайт муниципального образования Рыбкинский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30. Контрольный орган может проводить профилактические мероприятия, не предусмотренные программой профилактики рисков причинения вреда.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31. При осуществлении муниципального контроля контрольным органом проводятся следующие профилактические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объявление предостережения о недопустимости нарушений обязательных требований (далее - предостережение);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консультирование.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2.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34. Информирование осуществляется посредством размещения соответствующих сведений на официальном сайте муниципального образования Рыбкинский сельсовет Новосергиевского района Оренбургской области, в средствах массовой информации и в иных формах.</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35. Контрольный орган обязан размещать и поддерживать в актуальном состоянии на официальном сайте муниципального образования Рыбкинский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тексты нормативных правовых актов, регулирующих осуществление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руководства по соблюдению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индикаторов риска нарушения обязательных требований, порядок отнесения объектов контроля к категориям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перечень объектов контроля, учитываемых в рамках формирования ежегодного плана контрольных мероприятий, с указанием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исчерпывающий перечень сведений, которые могут запрашиваться контрольным органом у контролируемого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сведения о способах получения консультаций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сведения о порядке досудебного обжалования решений контрольного органа, действий (бездействия) его должностных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доклады о муниципальном контроле;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3. Объявление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наименование контрольного органа, в который направляется возражение;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дату и номер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доводы, на основании которых контролируемое лицо не согласно с объявленным предостережением;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дату получения предостережения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личную подпись и дату.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40. Контрольный орган в течение 20 календарных дней со дня регистрации возражения: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необходимости запрашивают документы и материалы в других государственных органах, органах местного самоуправления и у иных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4) направляют письменный ответ по существу поставленных в возражении вопросов.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Повторно направленные возражения по тем же основаниям не рассматриваются органом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41. По результатам рассмотрения возражения орган муниципального контроля принимает одно из следующих решений: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удовлетворяет возражение в форме отмены объявленного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отказывает в удовлетворении возражения.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1"/>
          <w:szCs w:val="21"/>
        </w:rPr>
      </w:pPr>
      <w:r>
        <w:rPr>
          <w:rFonts w:eastAsia="Times New Roman"/>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Глава 4. Консультирование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местонахождение, контактные телефоны, адрес официального сайта муниципального образования Рыбкинский сельсовет Новосергиевского района Оренбургской области и адреса электронной почты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график работы контрольного органа, время приема посетителей;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перечень нормативных правовых актов, регулирующих осуществление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перечень актов, содержащих обязательные требования.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объявления обратившемуся контролируемому лицу предостережения;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53. Контрольный орган осуществляют учет консультирований.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1"/>
          <w:szCs w:val="21"/>
        </w:rPr>
      </w:pPr>
      <w:r>
        <w:rPr>
          <w:rFonts w:eastAsia="Times New Roman"/>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Рыбкинский сельсовет Новосергиевского района Оренбургской области письменного разъяснения, подписанного руководителем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t>Раздел 4. Осуществление муниципального контроля на автомобильном транспорте и в дорожном хозяйстве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55. При осуществлении муниципального контроля проводятся следующие контрольные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контрольные мероприятия без взаимодействия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контрольные мероприятия, предусматривающие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инспекционный визит, в ходе которого могут совершаться следующие контрольные (надзорные)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Pr>
          <w:rFonts w:eastAsia="Times New Roman"/>
        </w:rPr>
        <w:lastRenderedPageBreak/>
        <w:t>лица (его филиалов, представительств, обособленных структурных подразделений) либо объекта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Инспекционный визит проводится в порядке и объеме, определенном статьей 70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рейдовый осмотр, в ходе которого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Рейдовый осмотр проводится в порядке и объеме, определенном статьей 71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документарная проверка, в ходе которой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Документарная проводится в порядке и объеме, определенном статьей 72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выездная проверка, в ходе которой могут совершаться следующие контрольные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а) осмотр;</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б) опрос;</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в) получение письменных объяснений;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г) истребование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д) инструментальное обследование.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58. Основания для проведения контрольных мероприятий предусмотрены статьей 57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59. Сведения о причинении вреда (ущерба) или об угрозе причинения вреда (ущерба) охраняемым законом ценностям контрольный орган получает: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обеспечивает, в том числе по решению руководителя контрольного органа, проведение контрольного мероприятия без взаимодействия.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время и место принятия решения;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кем принято решение;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основание проведения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вид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объект контроля, в отношении которого проводится контрольное мероприятие;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 вид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 перечень контрольных действий, совершаемых в рамках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11) предмет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14) иные сведения, если это предусмотрено положением о виде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0" w:name="p260"/>
      <w:bookmarkEnd w:id="0"/>
      <w:r>
        <w:rPr>
          <w:rFonts w:eastAsia="Times New Roman"/>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Pr>
            <w:rStyle w:val="a3"/>
            <w:rFonts w:eastAsia="Times New Roman"/>
            <w:color w:val="auto"/>
            <w:u w:val="none"/>
          </w:rPr>
          <w:t>пунктами 73</w:t>
        </w:r>
      </w:hyperlink>
      <w:r>
        <w:rPr>
          <w:rFonts w:eastAsia="Times New Roman"/>
        </w:rPr>
        <w:t xml:space="preserve">, </w:t>
      </w:r>
      <w:hyperlink r:id="rId10" w:anchor="p263" w:history="1">
        <w:r>
          <w:rPr>
            <w:rStyle w:val="a3"/>
            <w:rFonts w:eastAsia="Times New Roman"/>
            <w:color w:val="auto"/>
            <w:u w:val="none"/>
          </w:rPr>
          <w:t>74</w:t>
        </w:r>
      </w:hyperlink>
      <w:r>
        <w:rPr>
          <w:rFonts w:eastAsia="Times New Roman"/>
        </w:rPr>
        <w:t xml:space="preserve"> настоящего Положения. В этом случае инспектор вправе совершить контрольные действия в рамках </w:t>
      </w:r>
      <w:r>
        <w:rPr>
          <w:rFonts w:eastAsia="Times New Roman"/>
        </w:rPr>
        <w:lastRenderedPageBreak/>
        <w:t>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1" w:name="p262"/>
      <w:bookmarkEnd w:id="1"/>
      <w:r>
        <w:rPr>
          <w:rFonts w:eastAsia="Times New Roman"/>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2" w:name="p263"/>
      <w:bookmarkEnd w:id="2"/>
      <w:r>
        <w:rPr>
          <w:rFonts w:eastAsia="Times New Roman"/>
        </w:rPr>
        <w:t>74. Контролируемое лицо считается проинформированным надлежащим образом в случае, если: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1) сведения предоставлены контролируемому лицу в соответствии с </w:t>
      </w:r>
      <w:hyperlink r:id="rId11" w:anchor="p262" w:history="1">
        <w:r>
          <w:rPr>
            <w:rStyle w:val="a3"/>
            <w:rFonts w:eastAsia="Times New Roman"/>
            <w:color w:val="auto"/>
            <w:u w:val="none"/>
          </w:rPr>
          <w:t>пунктом 73</w:t>
        </w:r>
      </w:hyperlink>
      <w:r>
        <w:rPr>
          <w:rFonts w:eastAsia="Times New Roman"/>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Pr>
            <w:rStyle w:val="a3"/>
            <w:rFonts w:eastAsia="Times New Roman"/>
            <w:color w:val="auto"/>
            <w:u w:val="none"/>
          </w:rPr>
          <w:t>пунктом 78</w:t>
        </w:r>
      </w:hyperlink>
      <w:r>
        <w:rPr>
          <w:rFonts w:eastAsia="Times New Roman"/>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75. Документы, направляемые контролируемым лицом контрольному органу в электронном виде, подписываются: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простой электронной подписью;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усиленной квалифицированной электронной подписью.</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77. Не допускается требование нотариального удостоверения копий документов, представляемых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3" w:name="p272"/>
      <w:bookmarkEnd w:id="3"/>
      <w:r>
        <w:rPr>
          <w:rFonts w:eastAsia="Times New Roman"/>
        </w:rPr>
        <w:lastRenderedPageBreak/>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79. В случае, указанном в </w:t>
      </w:r>
      <w:hyperlink r:id="rId13" w:anchor="p260" w:history="1">
        <w:r>
          <w:rPr>
            <w:rStyle w:val="a3"/>
            <w:rFonts w:eastAsia="Times New Roman"/>
            <w:color w:val="auto"/>
            <w:u w:val="none"/>
          </w:rPr>
          <w:t>пункте 71</w:t>
        </w:r>
      </w:hyperlink>
      <w:r>
        <w:rPr>
          <w:rFonts w:eastAsia="Times New Roman"/>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4" w:name="p278"/>
      <w:bookmarkEnd w:id="4"/>
      <w:r>
        <w:rPr>
          <w:rFonts w:eastAsia="Times New Roman"/>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85. Направление сведений и документов, предусмотренных </w:t>
      </w:r>
      <w:hyperlink r:id="rId14" w:anchor="p278" w:history="1">
        <w:r>
          <w:rPr>
            <w:rStyle w:val="a3"/>
            <w:rFonts w:eastAsia="Times New Roman"/>
            <w:color w:val="auto"/>
            <w:u w:val="none"/>
          </w:rPr>
          <w:t>пунктом 84</w:t>
        </w:r>
      </w:hyperlink>
      <w:r>
        <w:rPr>
          <w:rFonts w:eastAsia="Times New Roman"/>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Pr>
            <w:rStyle w:val="a3"/>
            <w:rFonts w:eastAsia="Times New Roman"/>
            <w:color w:val="auto"/>
            <w:u w:val="none"/>
          </w:rPr>
          <w:t>пунктом 84</w:t>
        </w:r>
      </w:hyperlink>
      <w:r>
        <w:rPr>
          <w:rFonts w:eastAsia="Times New Roman"/>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5" w:name="p283"/>
      <w:bookmarkEnd w:id="5"/>
      <w:r>
        <w:rPr>
          <w:rFonts w:eastAsia="Times New Roman"/>
        </w:rPr>
        <w:t xml:space="preserve">89. При поступлении информации, указанной в </w:t>
      </w:r>
      <w:hyperlink r:id="rId16" w:anchor="p283" w:history="1">
        <w:r>
          <w:rPr>
            <w:rStyle w:val="a3"/>
            <w:rFonts w:eastAsia="Times New Roman"/>
            <w:color w:val="auto"/>
            <w:u w:val="none"/>
          </w:rPr>
          <w:t>пункте 89</w:t>
        </w:r>
      </w:hyperlink>
      <w:r>
        <w:rPr>
          <w:rFonts w:eastAsia="Times New Roman"/>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5. Результаты контрольных мероприятий и решения, по результатам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91. Вопросы оформления результатов контрольных мероприятий регулируются статьей 87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дата и место составления предписания;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дата и номер акта контрольного мероприятия, на основании которого выдается предписание;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фамилия, имя, отчество (при наличии) и должность лица (лиц), выдавшего (выдавших) предписание;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содержание предписания - обязательные требования, которые нарушены;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сроки исполнения;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r>
        <w:rPr>
          <w:rFonts w:eastAsia="Times New Roman"/>
          <w:b/>
          <w:bCs/>
        </w:rPr>
        <w:t>Раздел 6. Обжалование решений контрольного органа, действия (бездействия) его должностных лиц</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lastRenderedPageBreak/>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95. Сроки подачи жалобы определяются в соответствии с частями 5 - 11 статьи 40 Закона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97. Жалоба, поданная в досудебном порядке на действия (бездействие) заместителя руководителя контрольного органа Главой муниципального образования Рыбкинский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6" w:name="p308"/>
      <w:bookmarkEnd w:id="6"/>
      <w:r>
        <w:rPr>
          <w:rFonts w:eastAsia="Times New Roman"/>
        </w:rPr>
        <w:t>98. Срок рассмотрения жалобы не позднее 20 рабочих дней со дня регистрации такой жалобы в органе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xml:space="preserve">Срок рассмотрения жалобы, установленный </w:t>
      </w:r>
      <w:hyperlink r:id="rId17" w:anchor="p308" w:history="1">
        <w:r>
          <w:rPr>
            <w:rStyle w:val="a3"/>
            <w:rFonts w:eastAsia="Times New Roman"/>
            <w:color w:val="auto"/>
            <w:u w:val="none"/>
          </w:rPr>
          <w:t>абзацем первым</w:t>
        </w:r>
      </w:hyperlink>
      <w:r>
        <w:rPr>
          <w:rFonts w:eastAsia="Times New Roman"/>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99. По итогам рассмотрения жалобы принимается одно из следующих решений: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оставить жалобу без удовлетворения;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или частично;</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отменить решение контрольного органа полностью и принять новое решение;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101. Досудебный порядок обжалования до 31 декабря 2023 года может осуществляться посредством бумажного документооборота.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bookmarkStart w:id="7" w:name="p319"/>
      <w:bookmarkEnd w:id="7"/>
      <w:r>
        <w:rPr>
          <w:rFonts w:eastAsia="Times New Roman"/>
          <w:b/>
          <w:bCs/>
        </w:rPr>
        <w:t>Раздел 7. Оценка результативности и эффективности деятельности контрольного органа</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дорожном хозяйстве.</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103. В систему показателей результативности и эффективности деятельности входят:</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ключевые показатели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индикативные показатели муниципального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104. Ключевые показатели муниципального контроля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представительного органа муниципального образования Рыбкинский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105. 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N 248-ФЗ.</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Организация подготовки доклада возлагается на орган контроля.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1"/>
          <w:szCs w:val="21"/>
        </w:rPr>
      </w:pPr>
      <w:r>
        <w:rPr>
          <w:rFonts w:eastAsia="Times New Roman"/>
          <w:b/>
          <w:bCs/>
        </w:rPr>
        <w:lastRenderedPageBreak/>
        <w:t>Раздел 8. Заключительные и переходные положения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szCs w:val="21"/>
        </w:rPr>
      </w:pPr>
      <w:r>
        <w:rPr>
          <w:rFonts w:eastAsia="Times New Roman"/>
        </w:rPr>
        <w:t> </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bookmarkStart w:id="8" w:name="p332"/>
      <w:bookmarkEnd w:id="8"/>
      <w:r>
        <w:rPr>
          <w:rFonts w:eastAsia="Times New Roman"/>
        </w:rPr>
        <w:t>106. Настоящее Положение вступает в силу с 01.01.2022.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bookmarkStart w:id="9" w:name="p333"/>
      <w:bookmarkEnd w:id="9"/>
      <w:r>
        <w:rPr>
          <w:rFonts w:eastAsia="Times New Roman"/>
        </w:rPr>
        <w:t xml:space="preserve">107. </w:t>
      </w:r>
      <w:hyperlink r:id="rId18" w:anchor="p319" w:history="1">
        <w:r>
          <w:rPr>
            <w:rStyle w:val="a3"/>
            <w:rFonts w:eastAsia="Times New Roman"/>
            <w:color w:val="auto"/>
            <w:u w:val="none"/>
          </w:rPr>
          <w:t>Раздел 7</w:t>
        </w:r>
      </w:hyperlink>
      <w:r>
        <w:rPr>
          <w:rFonts w:eastAsia="Times New Roman"/>
        </w:rPr>
        <w:t xml:space="preserve"> настоящего Положения вступает в силу с 01.03.2022.</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i/>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Приложение № 2</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Рыбкинского сельсовета</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16.09.2021 № 13/4 р.С.</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Ключевые </w:t>
      </w:r>
      <w:hyperlink r:id="rId19" w:anchor="p344" w:history="1">
        <w:r>
          <w:rPr>
            <w:rStyle w:val="a3"/>
            <w:rFonts w:ascii="Times New Roman" w:hAnsi="Times New Roman" w:cs="Times New Roman"/>
            <w:b/>
            <w:color w:val="auto"/>
            <w:sz w:val="24"/>
            <w:szCs w:val="24"/>
            <w:u w:val="none"/>
          </w:rPr>
          <w:t>показатели</w:t>
        </w:r>
      </w:hyperlink>
      <w:r>
        <w:rPr>
          <w:rFonts w:ascii="Times New Roman" w:hAnsi="Times New Roman" w:cs="Times New Roman"/>
          <w:b/>
          <w:sz w:val="24"/>
          <w:szCs w:val="24"/>
        </w:rPr>
        <w:t xml:space="preserve">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Ключевые показатели муниципального контроля  на автомобильном транспорте и в дорожном хозяйстве и их целевые значения: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r>
        <w:rPr>
          <w:rFonts w:eastAsia="Times New Roman"/>
        </w:rPr>
        <w:t> </w:t>
      </w:r>
    </w:p>
    <w:tbl>
      <w:tblPr>
        <w:tblW w:w="9346" w:type="dxa"/>
        <w:tblInd w:w="20" w:type="dxa"/>
        <w:tblCellMar>
          <w:left w:w="0" w:type="dxa"/>
          <w:right w:w="0" w:type="dxa"/>
        </w:tblCellMar>
        <w:tblLook w:val="04A0" w:firstRow="1" w:lastRow="0" w:firstColumn="1" w:lastColumn="0" w:noHBand="0" w:noVBand="1"/>
      </w:tblPr>
      <w:tblGrid>
        <w:gridCol w:w="7928"/>
        <w:gridCol w:w="1418"/>
      </w:tblGrid>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Ключевые показатели</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Целевые значения (%)</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менее 70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r w:rsidR="00CC4BCD" w:rsidTr="00CC4BCD">
        <w:tc>
          <w:tcPr>
            <w:tcW w:w="792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rPr>
                <w:rFonts w:ascii="Verdana" w:eastAsia="Times New Roman" w:hAnsi="Verdana" w:cs="Segoe UI"/>
                <w:sz w:val="21"/>
                <w:szCs w:val="21"/>
                <w:lang w:eastAsia="en-US"/>
              </w:rPr>
            </w:pPr>
            <w:r>
              <w:rPr>
                <w:rFonts w:eastAsia="Times New Roman"/>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8" w:type="dxa"/>
            <w:tcBorders>
              <w:top w:val="single" w:sz="8" w:space="0" w:color="000000"/>
              <w:left w:val="single" w:sz="8" w:space="0" w:color="000000"/>
              <w:bottom w:val="single" w:sz="8" w:space="0" w:color="000000"/>
              <w:right w:val="single" w:sz="8" w:space="0" w:color="000000"/>
            </w:tcBorders>
            <w:hideMark/>
          </w:tcPr>
          <w:p w:rsidR="00CC4BCD" w:rsidRDefault="00CC4BCD">
            <w:pPr>
              <w:wordWrap w:val="0"/>
              <w:spacing w:before="100" w:after="100" w:line="276" w:lineRule="auto"/>
              <w:ind w:left="60" w:right="60"/>
              <w:jc w:val="center"/>
              <w:rPr>
                <w:rFonts w:ascii="Verdana" w:eastAsia="Times New Roman" w:hAnsi="Verdana" w:cs="Segoe UI"/>
                <w:sz w:val="21"/>
                <w:szCs w:val="21"/>
                <w:lang w:eastAsia="en-US"/>
              </w:rPr>
            </w:pPr>
            <w:r>
              <w:rPr>
                <w:rFonts w:eastAsia="Times New Roman"/>
                <w:lang w:eastAsia="en-US"/>
              </w:rPr>
              <w:t>Не более 0</w:t>
            </w:r>
          </w:p>
        </w:tc>
      </w:tr>
    </w:tbl>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1"/>
          <w:szCs w:val="21"/>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Индикативные показатели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количество обращений граждан и организаций о нарушении обязательных требований, поступивших в контрольный орган;</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количество проведенных контрольным органом внеплановых контрольных мероприятий;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количество принятых прокуратурой решений о согласовании проведения контрольным органом внепланового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количество выявленных контрольным органом нарушений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количество устраненных нарушений обязательных требований;</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количество поступивших возражений в отношении акта контрольного мероприятия;</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количество выданных контрольным органом предписаний об устранении нарушений обязательных требований.</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Приложение № 3</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Рыбкинского сельсовета</w:t>
      </w:r>
    </w:p>
    <w:p w:rsidR="00CC4BCD" w:rsidRDefault="00CC4BCD" w:rsidP="00CC4BCD">
      <w:pPr>
        <w:pStyle w:val="ConsPlusNormal"/>
        <w:widowControl/>
        <w:ind w:firstLine="5387"/>
        <w:jc w:val="right"/>
        <w:rPr>
          <w:rFonts w:ascii="Times New Roman" w:hAnsi="Times New Roman" w:cs="Times New Roman"/>
          <w:sz w:val="24"/>
          <w:szCs w:val="24"/>
        </w:rPr>
      </w:pPr>
      <w:r>
        <w:rPr>
          <w:rFonts w:ascii="Times New Roman" w:hAnsi="Times New Roman" w:cs="Times New Roman"/>
          <w:sz w:val="24"/>
          <w:szCs w:val="24"/>
        </w:rPr>
        <w:t>от 16.09.2021 № 13/4 р.С.</w:t>
      </w:r>
    </w:p>
    <w:p w:rsidR="00CC4BCD" w:rsidRDefault="00CC4BCD" w:rsidP="00CC4BCD">
      <w:pPr>
        <w:pStyle w:val="ConsPlusNormal"/>
        <w:widowControl/>
        <w:ind w:firstLine="5387"/>
        <w:jc w:val="right"/>
        <w:rPr>
          <w:rFonts w:ascii="Times New Roman" w:hAnsi="Times New Roman" w:cs="Times New Roman"/>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hyperlink r:id="rId20" w:anchor="p384" w:history="1">
        <w:r>
          <w:rPr>
            <w:rStyle w:val="a3"/>
            <w:rFonts w:ascii="Times New Roman" w:hAnsi="Times New Roman" w:cs="Times New Roman"/>
            <w:b/>
            <w:color w:val="auto"/>
            <w:sz w:val="24"/>
            <w:szCs w:val="24"/>
            <w:u w:val="none"/>
          </w:rPr>
          <w:t>Перечень</w:t>
        </w:r>
      </w:hyperlink>
      <w:r>
        <w:rPr>
          <w:rFonts w:ascii="Times New Roman" w:hAnsi="Times New Roman" w:cs="Times New Roman"/>
          <w:b/>
          <w:sz w:val="24"/>
          <w:szCs w:val="24"/>
        </w:rPr>
        <w:t xml:space="preserve">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2. Наличие признаков нарушения обязательных требований при осуществлении дорожной деятельности.</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C4BCD" w:rsidRDefault="00CC4BCD" w:rsidP="00CC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eastAsia="Times New Roman" w:hAnsi="Verdana" w:cs="Courier New"/>
          <w:sz w:val="21"/>
          <w:szCs w:val="21"/>
        </w:rPr>
      </w:pPr>
      <w:r>
        <w:rPr>
          <w:rFonts w:eastAsia="Times New Roman"/>
        </w:rPr>
        <w:t>7. Поступление информации о нарушении обязательных требований при производстве дорожных работ.</w:t>
      </w:r>
    </w:p>
    <w:p w:rsidR="00CC4BCD" w:rsidRDefault="00CC4BCD" w:rsidP="00CC4BCD">
      <w:pPr>
        <w:tabs>
          <w:tab w:val="left" w:pos="1416"/>
        </w:tabs>
        <w:rPr>
          <w:rFonts w:ascii="Verdana" w:eastAsia="Times New Roman" w:hAnsi="Verdana" w:cs="Courier New"/>
          <w:sz w:val="21"/>
          <w:szCs w:val="21"/>
        </w:rPr>
      </w:pPr>
      <w:r>
        <w:rPr>
          <w:rFonts w:eastAsia="Times New Roman"/>
        </w:rPr>
        <w:t> </w:t>
      </w:r>
      <w:r>
        <w:rPr>
          <w:rFonts w:eastAsia="Times New Roman"/>
        </w:rPr>
        <w:tab/>
      </w:r>
    </w:p>
    <w:p w:rsidR="00CC4BCD" w:rsidRDefault="00CC4BCD" w:rsidP="00CC4BCD">
      <w:pPr>
        <w:rPr>
          <w:rFonts w:asciiTheme="minorHAnsi" w:eastAsiaTheme="minorHAnsi" w:hAnsiTheme="minorHAnsi" w:cstheme="minorBidi"/>
          <w:sz w:val="22"/>
          <w:szCs w:val="22"/>
          <w:lang w:eastAsia="en-US"/>
        </w:rPr>
      </w:pPr>
    </w:p>
    <w:p w:rsidR="00CC4BCD" w:rsidRDefault="00CC4BCD" w:rsidP="00CC4BCD">
      <w:pPr>
        <w:pStyle w:val="ConsPlusNormal"/>
        <w:widowControl/>
        <w:ind w:firstLine="0"/>
        <w:jc w:val="center"/>
        <w:rPr>
          <w:rFonts w:ascii="Times New Roman" w:hAnsi="Times New Roman" w:cs="Times New Roman"/>
          <w:b/>
          <w:sz w:val="24"/>
          <w:szCs w:val="24"/>
        </w:rPr>
      </w:pPr>
    </w:p>
    <w:p w:rsidR="00CC4BCD" w:rsidRDefault="00CC4BCD" w:rsidP="00CC4BCD">
      <w:pPr>
        <w:pStyle w:val="ConsPlusNormal"/>
        <w:widowControl/>
        <w:ind w:firstLine="0"/>
        <w:jc w:val="center"/>
        <w:rPr>
          <w:rFonts w:ascii="Times New Roman" w:hAnsi="Times New Roman" w:cs="Times New Roman"/>
          <w:b/>
          <w:sz w:val="24"/>
          <w:szCs w:val="24"/>
        </w:rPr>
      </w:pPr>
    </w:p>
    <w:p w:rsidR="00150EBF" w:rsidRDefault="00150EBF">
      <w:bookmarkStart w:id="10" w:name="_GoBack"/>
      <w:bookmarkEnd w:id="1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BCD"/>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4BCD"/>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4BCD"/>
    <w:rPr>
      <w:color w:val="0000FF"/>
      <w:u w:val="single"/>
    </w:rPr>
  </w:style>
  <w:style w:type="paragraph" w:customStyle="1" w:styleId="ConsPlusNormal">
    <w:name w:val="ConsPlusNormal"/>
    <w:uiPriority w:val="99"/>
    <w:qFormat/>
    <w:rsid w:val="00CC4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CC4BCD"/>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4BCD"/>
    <w:rPr>
      <w:color w:val="0000FF"/>
      <w:u w:val="single"/>
    </w:rPr>
  </w:style>
  <w:style w:type="paragraph" w:customStyle="1" w:styleId="ConsPlusNormal">
    <w:name w:val="ConsPlusNormal"/>
    <w:uiPriority w:val="99"/>
    <w:qFormat/>
    <w:rsid w:val="00CC4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CC4BCD"/>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8538</Words>
  <Characters>48668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2021-09-13T06:32:00Z</dcterms:created>
  <dcterms:modified xsi:type="dcterms:W3CDTF">2021-09-13T06:33:00Z</dcterms:modified>
</cp:coreProperties>
</file>