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8" w:rsidRPr="00FB2A78" w:rsidRDefault="00FB2A78" w:rsidP="00FB2A78">
      <w:pPr>
        <w:tabs>
          <w:tab w:val="left" w:pos="5529"/>
        </w:tabs>
        <w:spacing w:line="360" w:lineRule="auto"/>
        <w:ind w:right="3684"/>
        <w:jc w:val="center"/>
        <w:rPr>
          <w:b/>
          <w:sz w:val="28"/>
          <w:szCs w:val="28"/>
        </w:rPr>
      </w:pPr>
      <w:r w:rsidRPr="00FB2A78">
        <w:rPr>
          <w:b/>
          <w:sz w:val="28"/>
          <w:szCs w:val="28"/>
        </w:rPr>
        <w:t>АДМИНИСТРАЦИЯ</w:t>
      </w:r>
    </w:p>
    <w:p w:rsidR="00FB2A78" w:rsidRPr="00FB2A78" w:rsidRDefault="00FB2A78" w:rsidP="00FB2A78">
      <w:pPr>
        <w:tabs>
          <w:tab w:val="left" w:pos="5529"/>
          <w:tab w:val="left" w:pos="5670"/>
          <w:tab w:val="left" w:pos="5812"/>
        </w:tabs>
        <w:spacing w:line="360" w:lineRule="auto"/>
        <w:ind w:right="3684"/>
        <w:jc w:val="center"/>
        <w:rPr>
          <w:b/>
          <w:sz w:val="28"/>
          <w:szCs w:val="28"/>
        </w:rPr>
      </w:pPr>
      <w:r w:rsidRPr="00FB2A78">
        <w:rPr>
          <w:b/>
          <w:sz w:val="28"/>
          <w:szCs w:val="28"/>
        </w:rPr>
        <w:t>МУНИЦИПАЛЬНОГО ОБРАЗОВАНИЯ</w:t>
      </w:r>
    </w:p>
    <w:p w:rsidR="00FB2A78" w:rsidRPr="00FB2A78" w:rsidRDefault="00FB2A78" w:rsidP="00FB2A78">
      <w:pPr>
        <w:tabs>
          <w:tab w:val="left" w:pos="5529"/>
        </w:tabs>
        <w:spacing w:line="360" w:lineRule="auto"/>
        <w:ind w:right="3684"/>
        <w:jc w:val="center"/>
        <w:rPr>
          <w:b/>
          <w:sz w:val="28"/>
          <w:szCs w:val="28"/>
        </w:rPr>
      </w:pPr>
      <w:r w:rsidRPr="00FB2A78">
        <w:rPr>
          <w:b/>
          <w:sz w:val="28"/>
          <w:szCs w:val="28"/>
        </w:rPr>
        <w:t>РЫБКИНСКИЙ СЕЛЬСОВЕТ</w:t>
      </w:r>
    </w:p>
    <w:p w:rsidR="00FB2A78" w:rsidRPr="00FB2A78" w:rsidRDefault="00FB2A78" w:rsidP="00FB2A78">
      <w:pPr>
        <w:tabs>
          <w:tab w:val="left" w:pos="5529"/>
        </w:tabs>
        <w:spacing w:line="360" w:lineRule="auto"/>
        <w:ind w:right="3684"/>
        <w:jc w:val="center"/>
        <w:rPr>
          <w:b/>
          <w:sz w:val="28"/>
          <w:szCs w:val="28"/>
        </w:rPr>
      </w:pPr>
      <w:r w:rsidRPr="00FB2A78">
        <w:rPr>
          <w:b/>
          <w:sz w:val="28"/>
          <w:szCs w:val="28"/>
        </w:rPr>
        <w:t>НОВОСЕРГИЕВСКОГО РАЙОНА</w:t>
      </w:r>
    </w:p>
    <w:p w:rsidR="00FB2A78" w:rsidRPr="00FB2A78" w:rsidRDefault="00FB2A78" w:rsidP="00FB2A78">
      <w:pPr>
        <w:tabs>
          <w:tab w:val="left" w:pos="5529"/>
        </w:tabs>
        <w:spacing w:line="360" w:lineRule="auto"/>
        <w:ind w:right="3684"/>
        <w:jc w:val="center"/>
        <w:rPr>
          <w:b/>
          <w:sz w:val="28"/>
          <w:szCs w:val="28"/>
        </w:rPr>
      </w:pPr>
      <w:r w:rsidRPr="00FB2A78">
        <w:rPr>
          <w:b/>
          <w:sz w:val="28"/>
          <w:szCs w:val="28"/>
        </w:rPr>
        <w:t>ОРЕНБУРГСКОЙ ОБЛАСТИ</w:t>
      </w:r>
    </w:p>
    <w:p w:rsidR="00FB2A78" w:rsidRPr="00FB2A78" w:rsidRDefault="00FB2A78" w:rsidP="00FB2A78">
      <w:pPr>
        <w:tabs>
          <w:tab w:val="left" w:pos="5529"/>
        </w:tabs>
        <w:spacing w:line="360" w:lineRule="auto"/>
        <w:ind w:right="3684"/>
        <w:jc w:val="center"/>
        <w:rPr>
          <w:b/>
          <w:sz w:val="28"/>
          <w:szCs w:val="28"/>
        </w:rPr>
      </w:pPr>
      <w:r w:rsidRPr="00FB2A78">
        <w:rPr>
          <w:b/>
          <w:sz w:val="28"/>
          <w:szCs w:val="28"/>
        </w:rPr>
        <w:t>ПОСТАНОВЛЕНИЕ</w:t>
      </w:r>
    </w:p>
    <w:p w:rsidR="00FB2A78" w:rsidRPr="00FB2A78" w:rsidRDefault="00FB2A78" w:rsidP="00FB2A78">
      <w:pPr>
        <w:tabs>
          <w:tab w:val="left" w:pos="5529"/>
        </w:tabs>
        <w:ind w:right="3684"/>
        <w:jc w:val="center"/>
        <w:rPr>
          <w:b/>
          <w:sz w:val="28"/>
          <w:szCs w:val="28"/>
        </w:rPr>
      </w:pPr>
    </w:p>
    <w:p w:rsidR="00FB2A78" w:rsidRPr="00FB2A78" w:rsidRDefault="00FB2A78" w:rsidP="00FB2A78">
      <w:pPr>
        <w:tabs>
          <w:tab w:val="left" w:pos="5529"/>
        </w:tabs>
        <w:ind w:right="3684"/>
        <w:jc w:val="center"/>
        <w:rPr>
          <w:sz w:val="28"/>
          <w:szCs w:val="28"/>
        </w:rPr>
      </w:pPr>
      <w:r>
        <w:rPr>
          <w:sz w:val="28"/>
          <w:szCs w:val="28"/>
        </w:rPr>
        <w:t>12.04.2023  г. № 37</w:t>
      </w:r>
      <w:r w:rsidRPr="00FB2A78">
        <w:rPr>
          <w:sz w:val="28"/>
          <w:szCs w:val="28"/>
        </w:rPr>
        <w:t>-п</w:t>
      </w:r>
    </w:p>
    <w:p w:rsidR="00FB2A78" w:rsidRPr="00FB2A78" w:rsidRDefault="00FB2A78" w:rsidP="00FB2A78">
      <w:pPr>
        <w:tabs>
          <w:tab w:val="left" w:pos="5529"/>
        </w:tabs>
        <w:ind w:right="3684"/>
        <w:jc w:val="center"/>
        <w:rPr>
          <w:sz w:val="28"/>
          <w:szCs w:val="28"/>
        </w:rPr>
      </w:pPr>
      <w:r w:rsidRPr="00FB2A78">
        <w:rPr>
          <w:sz w:val="28"/>
          <w:szCs w:val="28"/>
        </w:rPr>
        <w:t>с.Рыбкино</w:t>
      </w:r>
    </w:p>
    <w:p w:rsidR="00FB2A78" w:rsidRPr="00FB2A78" w:rsidRDefault="00FB2A78" w:rsidP="00FB2A78">
      <w:pPr>
        <w:pStyle w:val="a4"/>
        <w:ind w:right="3685"/>
        <w:rPr>
          <w:sz w:val="28"/>
          <w:szCs w:val="28"/>
        </w:rPr>
      </w:pPr>
      <w:r w:rsidRPr="00FB2A78">
        <w:rPr>
          <w:noProof/>
          <w:sz w:val="28"/>
          <w:szCs w:val="28"/>
        </w:rPr>
        <mc:AlternateContent>
          <mc:Choice Requires="wps">
            <w:drawing>
              <wp:anchor distT="0" distB="0" distL="114298" distR="114298" simplePos="0" relativeHeight="251658240" behindDoc="0" locked="0" layoutInCell="1" allowOverlap="1" wp14:anchorId="322342EA" wp14:editId="0DCAD27E">
                <wp:simplePos x="0" y="0"/>
                <wp:positionH relativeFrom="column">
                  <wp:posOffset>3599815</wp:posOffset>
                </wp:positionH>
                <wp:positionV relativeFrom="paragraph">
                  <wp:posOffset>166370</wp:posOffset>
                </wp:positionV>
                <wp:extent cx="0" cy="374650"/>
                <wp:effectExtent l="0" t="0" r="19050" b="2540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r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hWQOtXAgAAaAQAAA4AAAAAAAAAAAAAAAAALgIAAGRycy9lMm9Eb2MueG1sUEsB&#10;Ai0AFAAGAAgAAAAhAMEMWC7eAAAACQEAAA8AAAAAAAAAAAAAAAAAsQQAAGRycy9kb3ducmV2Lnht&#10;bFBLBQYAAAAABAAEAPMAAAC8BQAAAAA=&#10;" strokeweight=".26mm">
                <v:stroke joinstyle="miter"/>
              </v:line>
            </w:pict>
          </mc:Fallback>
        </mc:AlternateContent>
      </w:r>
      <w:r w:rsidRPr="00FB2A78">
        <w:rPr>
          <w:noProof/>
          <w:sz w:val="28"/>
          <w:szCs w:val="28"/>
        </w:rPr>
        <mc:AlternateContent>
          <mc:Choice Requires="wps">
            <w:drawing>
              <wp:anchor distT="4294967294" distB="4294967294" distL="114300" distR="114300" simplePos="0" relativeHeight="251658240" behindDoc="0" locked="0" layoutInCell="1" allowOverlap="1" wp14:anchorId="38F9EA31" wp14:editId="669A190A">
                <wp:simplePos x="0" y="0"/>
                <wp:positionH relativeFrom="column">
                  <wp:posOffset>3257550</wp:posOffset>
                </wp:positionH>
                <wp:positionV relativeFrom="paragraph">
                  <wp:posOffset>165735</wp:posOffset>
                </wp:positionV>
                <wp:extent cx="3429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Rp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K4P8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zHZRpXQIAAHIEAAAOAAAAAAAAAAAAAAAAAC4CAABkcnMvZTJvRG9jLnht&#10;bFBLAQItABQABgAIAAAAIQBuQ+uN3AAAAAkBAAAPAAAAAAAAAAAAAAAAALcEAABkcnMvZG93bnJl&#10;di54bWxQSwUGAAAAAAQABADzAAAAwAUAAAAA&#10;" strokeweight=".26mm">
                <v:stroke joinstyle="miter"/>
              </v:line>
            </w:pict>
          </mc:Fallback>
        </mc:AlternateContent>
      </w:r>
      <w:r w:rsidRPr="00FB2A78">
        <w:rPr>
          <w:sz w:val="28"/>
          <w:szCs w:val="28"/>
        </w:rPr>
        <w:t xml:space="preserve">                     </w:t>
      </w:r>
      <w:r w:rsidRPr="00FB2A78">
        <w:rPr>
          <w:noProof/>
          <w:sz w:val="28"/>
          <w:szCs w:val="28"/>
        </w:rPr>
        <mc:AlternateContent>
          <mc:Choice Requires="wps">
            <w:drawing>
              <wp:anchor distT="4294967294" distB="4294967294" distL="114300" distR="114300" simplePos="0" relativeHeight="251658240" behindDoc="0" locked="0" layoutInCell="1" allowOverlap="1" wp14:anchorId="40BF7A29" wp14:editId="0CBE5575">
                <wp:simplePos x="0" y="0"/>
                <wp:positionH relativeFrom="column">
                  <wp:posOffset>-47625</wp:posOffset>
                </wp:positionH>
                <wp:positionV relativeFrom="paragraph">
                  <wp:posOffset>173990</wp:posOffset>
                </wp:positionV>
                <wp:extent cx="342900" cy="0"/>
                <wp:effectExtent l="0" t="0" r="19050" b="190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rL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TgdwK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9erLVgIAAGgEAAAOAAAAAAAAAAAAAAAAAC4CAABkcnMvZTJvRG9jLnhtbFBLAQIt&#10;ABQABgAIAAAAIQC4l4JM3QAAAAcBAAAPAAAAAAAAAAAAAAAAALAEAABkcnMvZG93bnJldi54bWxQ&#10;SwUGAAAAAAQABADzAAAAugUAAAAA&#10;" strokeweight=".26mm">
                <v:stroke joinstyle="miter"/>
              </v:line>
            </w:pict>
          </mc:Fallback>
        </mc:AlternateContent>
      </w:r>
      <w:r w:rsidRPr="00FB2A78">
        <w:rPr>
          <w:noProof/>
          <w:sz w:val="28"/>
          <w:szCs w:val="28"/>
        </w:rPr>
        <mc:AlternateContent>
          <mc:Choice Requires="wps">
            <w:drawing>
              <wp:anchor distT="0" distB="0" distL="114298" distR="114298" simplePos="0" relativeHeight="251658240" behindDoc="0" locked="0" layoutInCell="1" allowOverlap="1" wp14:anchorId="7CE125D1" wp14:editId="6474CB98">
                <wp:simplePos x="0" y="0"/>
                <wp:positionH relativeFrom="column">
                  <wp:posOffset>-47625</wp:posOffset>
                </wp:positionH>
                <wp:positionV relativeFrom="paragraph">
                  <wp:posOffset>173990</wp:posOffset>
                </wp:positionV>
                <wp:extent cx="0" cy="342900"/>
                <wp:effectExtent l="0" t="0" r="19050" b="1905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VE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E6eI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HTo1RFcCAABoBAAADgAAAAAAAAAAAAAAAAAuAgAAZHJzL2Uyb0RvYy54bWxQSwEC&#10;LQAUAAYACAAAACEA+G4xQ90AAAAHAQAADwAAAAAAAAAAAAAAAACxBAAAZHJzL2Rvd25yZXYueG1s&#10;UEsFBgAAAAAEAAQA8wAAALsFAAAAAA==&#10;" strokeweight=".26mm">
                <v:stroke joinstyle="miter"/>
              </v:line>
            </w:pict>
          </mc:Fallback>
        </mc:AlternateContent>
      </w:r>
    </w:p>
    <w:p w:rsidR="00FB2A78" w:rsidRPr="00C219E6" w:rsidRDefault="00FB2A78" w:rsidP="00FB2A78">
      <w:pPr>
        <w:tabs>
          <w:tab w:val="left" w:pos="9072"/>
        </w:tabs>
        <w:overflowPunct/>
        <w:autoSpaceDE/>
        <w:adjustRightInd/>
        <w:ind w:right="3685"/>
        <w:jc w:val="both"/>
        <w:rPr>
          <w:rFonts w:eastAsia="Arial Unicode MS"/>
          <w:bCs/>
          <w:sz w:val="26"/>
          <w:szCs w:val="26"/>
          <w:lang w:bidi="ru-RU"/>
        </w:rPr>
      </w:pPr>
      <w:r w:rsidRPr="00C219E6">
        <w:rPr>
          <w:rFonts w:eastAsia="Arial Unicode MS"/>
          <w:bCs/>
          <w:sz w:val="26"/>
          <w:szCs w:val="26"/>
          <w:lang w:bidi="ru-RU"/>
        </w:rPr>
        <w:t xml:space="preserve">О внесении изменений и дополнений в </w:t>
      </w:r>
      <w:r w:rsidRPr="00C219E6">
        <w:rPr>
          <w:rFonts w:eastAsia="Arial Unicode MS"/>
          <w:bCs/>
          <w:sz w:val="26"/>
          <w:szCs w:val="26"/>
          <w:lang w:bidi="ru-RU"/>
        </w:rPr>
        <w:t>п</w:t>
      </w:r>
      <w:r w:rsidRPr="00C219E6">
        <w:rPr>
          <w:rFonts w:eastAsia="Arial Unicode MS"/>
          <w:bCs/>
          <w:sz w:val="26"/>
          <w:szCs w:val="26"/>
          <w:lang w:bidi="ru-RU"/>
        </w:rPr>
        <w:t>остановление</w:t>
      </w:r>
      <w:r w:rsidRPr="00C219E6">
        <w:rPr>
          <w:rFonts w:eastAsia="Arial Unicode MS"/>
          <w:bCs/>
          <w:sz w:val="26"/>
          <w:szCs w:val="26"/>
          <w:lang w:bidi="ru-RU"/>
        </w:rPr>
        <w:t xml:space="preserve"> от 01.11.2022 № 76-п  </w:t>
      </w:r>
      <w:r w:rsidRPr="00C219E6">
        <w:rPr>
          <w:rFonts w:eastAsia="Arial Unicode MS"/>
          <w:bCs/>
          <w:sz w:val="26"/>
          <w:szCs w:val="26"/>
          <w:lang w:bidi="ru-RU"/>
        </w:rPr>
        <w:t>«</w:t>
      </w:r>
      <w:r w:rsidRPr="00C219E6">
        <w:rPr>
          <w:rFonts w:eastAsia="Arial Unicode MS"/>
          <w:bCs/>
          <w:sz w:val="26"/>
          <w:szCs w:val="26"/>
          <w:lang w:bidi="ru-RU"/>
        </w:rPr>
        <w:t xml:space="preserve">Об утверждении Указаний о порядке </w:t>
      </w:r>
      <w:proofErr w:type="gramStart"/>
      <w:r w:rsidRPr="00C219E6">
        <w:rPr>
          <w:rFonts w:eastAsia="Arial Unicode MS"/>
          <w:bCs/>
          <w:sz w:val="26"/>
          <w:szCs w:val="26"/>
          <w:lang w:bidi="ru-RU"/>
        </w:rPr>
        <w:t>применения целевых статей расходов бюджета муниципального образования</w:t>
      </w:r>
      <w:proofErr w:type="gramEnd"/>
      <w:r w:rsidRPr="00C219E6">
        <w:rPr>
          <w:rFonts w:eastAsia="Arial Unicode MS"/>
          <w:bCs/>
          <w:sz w:val="26"/>
          <w:szCs w:val="26"/>
          <w:lang w:bidi="ru-RU"/>
        </w:rPr>
        <w:t xml:space="preserve"> Рыбкинский сельсовет Новосергиевского района Оренбургской области для составления проекта местного бюджета»</w:t>
      </w:r>
    </w:p>
    <w:p w:rsidR="00150EBF" w:rsidRPr="00C219E6" w:rsidRDefault="00150EBF" w:rsidP="00FB2A78">
      <w:pPr>
        <w:tabs>
          <w:tab w:val="left" w:pos="9072"/>
        </w:tabs>
        <w:rPr>
          <w:sz w:val="26"/>
          <w:szCs w:val="26"/>
        </w:rPr>
      </w:pPr>
    </w:p>
    <w:p w:rsidR="00C219E6" w:rsidRPr="00C219E6" w:rsidRDefault="00C219E6" w:rsidP="00C219E6">
      <w:pPr>
        <w:tabs>
          <w:tab w:val="left" w:pos="9072"/>
        </w:tabs>
        <w:ind w:firstLine="567"/>
        <w:jc w:val="both"/>
        <w:rPr>
          <w:sz w:val="26"/>
          <w:szCs w:val="26"/>
        </w:rPr>
      </w:pPr>
      <w:r w:rsidRPr="00C219E6">
        <w:rPr>
          <w:sz w:val="26"/>
          <w:szCs w:val="26"/>
        </w:rPr>
        <w:t>В соответствии со статьями 9 и 21 Бюджетного кодекса Российской Федерации:</w:t>
      </w:r>
    </w:p>
    <w:p w:rsidR="00C219E6" w:rsidRPr="00C219E6" w:rsidRDefault="00C219E6" w:rsidP="00C219E6">
      <w:pPr>
        <w:tabs>
          <w:tab w:val="left" w:pos="9072"/>
        </w:tabs>
        <w:ind w:firstLine="567"/>
        <w:jc w:val="both"/>
        <w:rPr>
          <w:sz w:val="26"/>
          <w:szCs w:val="26"/>
        </w:rPr>
      </w:pPr>
      <w:r w:rsidRPr="00C219E6">
        <w:rPr>
          <w:sz w:val="26"/>
          <w:szCs w:val="26"/>
        </w:rPr>
        <w:t>1. Внести в Постановление № 76-</w:t>
      </w:r>
      <w:r w:rsidRPr="00C219E6">
        <w:rPr>
          <w:sz w:val="26"/>
          <w:szCs w:val="26"/>
        </w:rPr>
        <w:t>п от 01.11.2022 г. «</w:t>
      </w:r>
      <w:r w:rsidRPr="00C219E6">
        <w:rPr>
          <w:sz w:val="26"/>
          <w:szCs w:val="26"/>
        </w:rPr>
        <w:t xml:space="preserve">Об утверждении Указаний о порядке </w:t>
      </w:r>
      <w:proofErr w:type="gramStart"/>
      <w:r w:rsidRPr="00C219E6">
        <w:rPr>
          <w:sz w:val="26"/>
          <w:szCs w:val="26"/>
        </w:rPr>
        <w:t>применения целевых статей расходов бюджета муниципального образования</w:t>
      </w:r>
      <w:proofErr w:type="gramEnd"/>
      <w:r w:rsidRPr="00C219E6">
        <w:rPr>
          <w:sz w:val="26"/>
          <w:szCs w:val="26"/>
        </w:rPr>
        <w:t xml:space="preserve"> Рыбкинский сельсовет Новосергиевского района Оренбургской области для составления проекта местного бюджета» изменения и дополнения.</w:t>
      </w:r>
    </w:p>
    <w:p w:rsidR="00C219E6" w:rsidRPr="00C219E6" w:rsidRDefault="00C219E6" w:rsidP="00C219E6">
      <w:pPr>
        <w:tabs>
          <w:tab w:val="left" w:pos="9072"/>
        </w:tabs>
        <w:ind w:firstLine="567"/>
        <w:jc w:val="both"/>
        <w:rPr>
          <w:sz w:val="26"/>
          <w:szCs w:val="26"/>
        </w:rPr>
      </w:pPr>
      <w:r w:rsidRPr="00C219E6">
        <w:rPr>
          <w:sz w:val="26"/>
          <w:szCs w:val="26"/>
        </w:rPr>
        <w:t xml:space="preserve">1.1. </w:t>
      </w:r>
      <w:r w:rsidRPr="00C219E6">
        <w:rPr>
          <w:sz w:val="26"/>
          <w:szCs w:val="26"/>
        </w:rPr>
        <w:t xml:space="preserve">Приложение к Указаниям о порядке </w:t>
      </w:r>
      <w:proofErr w:type="gramStart"/>
      <w:r w:rsidRPr="00C219E6">
        <w:rPr>
          <w:sz w:val="26"/>
          <w:szCs w:val="26"/>
        </w:rPr>
        <w:t>применения целевых статей расходов бюджета муниципального образования</w:t>
      </w:r>
      <w:proofErr w:type="gramEnd"/>
      <w:r w:rsidRPr="00C219E6">
        <w:rPr>
          <w:sz w:val="26"/>
          <w:szCs w:val="26"/>
        </w:rPr>
        <w:t xml:space="preserve"> Рыбкинский сельсовет Новосергиевского района Оренбургской области изложить</w:t>
      </w:r>
      <w:r w:rsidRPr="00C219E6">
        <w:rPr>
          <w:sz w:val="26"/>
          <w:szCs w:val="26"/>
        </w:rPr>
        <w:t xml:space="preserve">  в новой редакции согласно приложению</w:t>
      </w:r>
      <w:r w:rsidRPr="00C219E6">
        <w:rPr>
          <w:sz w:val="26"/>
          <w:szCs w:val="26"/>
        </w:rPr>
        <w:t>.</w:t>
      </w:r>
    </w:p>
    <w:p w:rsidR="00C219E6" w:rsidRPr="00C219E6" w:rsidRDefault="00C219E6" w:rsidP="00C219E6">
      <w:pPr>
        <w:tabs>
          <w:tab w:val="left" w:pos="9072"/>
        </w:tabs>
        <w:ind w:firstLine="567"/>
        <w:jc w:val="both"/>
        <w:rPr>
          <w:sz w:val="26"/>
          <w:szCs w:val="26"/>
        </w:rPr>
      </w:pPr>
      <w:r w:rsidRPr="00C219E6">
        <w:rPr>
          <w:sz w:val="26"/>
          <w:szCs w:val="26"/>
        </w:rPr>
        <w:t xml:space="preserve">2. </w:t>
      </w:r>
      <w:proofErr w:type="gramStart"/>
      <w:r w:rsidRPr="00C219E6">
        <w:rPr>
          <w:sz w:val="26"/>
          <w:szCs w:val="26"/>
        </w:rPr>
        <w:t>Контроль за</w:t>
      </w:r>
      <w:proofErr w:type="gramEnd"/>
      <w:r w:rsidRPr="00C219E6">
        <w:rPr>
          <w:sz w:val="26"/>
          <w:szCs w:val="26"/>
        </w:rPr>
        <w:t xml:space="preserve"> исполнением настоящего постановления оставляю за собой.</w:t>
      </w:r>
    </w:p>
    <w:p w:rsidR="00C219E6" w:rsidRPr="00C219E6" w:rsidRDefault="00C219E6" w:rsidP="00C219E6">
      <w:pPr>
        <w:tabs>
          <w:tab w:val="left" w:pos="9072"/>
        </w:tabs>
        <w:ind w:firstLine="567"/>
        <w:jc w:val="both"/>
        <w:rPr>
          <w:sz w:val="26"/>
          <w:szCs w:val="26"/>
        </w:rPr>
      </w:pPr>
      <w:r w:rsidRPr="00C219E6">
        <w:rPr>
          <w:sz w:val="26"/>
          <w:szCs w:val="26"/>
        </w:rPr>
        <w:t xml:space="preserve">3. Постановление вступает в силу со дня его подписания и распространяется на правоотношения возникшие с 01.04.2023 года,  подлежит размещению на официальном сайте администрации муниципального образования Рыбкинский сельсовет </w:t>
      </w:r>
      <w:proofErr w:type="spellStart"/>
      <w:r w:rsidRPr="00C219E6">
        <w:rPr>
          <w:sz w:val="26"/>
          <w:szCs w:val="26"/>
        </w:rPr>
        <w:t>Рыбкинский</w:t>
      </w:r>
      <w:proofErr w:type="gramStart"/>
      <w:r w:rsidRPr="00C219E6">
        <w:rPr>
          <w:sz w:val="26"/>
          <w:szCs w:val="26"/>
        </w:rPr>
        <w:t>.р</w:t>
      </w:r>
      <w:proofErr w:type="gramEnd"/>
      <w:r w:rsidRPr="00C219E6">
        <w:rPr>
          <w:sz w:val="26"/>
          <w:szCs w:val="26"/>
        </w:rPr>
        <w:t>ф</w:t>
      </w:r>
      <w:proofErr w:type="spellEnd"/>
      <w:r w:rsidRPr="00C219E6">
        <w:rPr>
          <w:sz w:val="26"/>
          <w:szCs w:val="26"/>
        </w:rPr>
        <w:t xml:space="preserve"> в сети “Интернет”.</w:t>
      </w:r>
    </w:p>
    <w:p w:rsidR="00C219E6" w:rsidRPr="00C219E6" w:rsidRDefault="00C219E6" w:rsidP="00C219E6">
      <w:pPr>
        <w:tabs>
          <w:tab w:val="left" w:pos="9072"/>
        </w:tabs>
        <w:ind w:firstLine="567"/>
        <w:jc w:val="both"/>
        <w:rPr>
          <w:sz w:val="26"/>
          <w:szCs w:val="26"/>
        </w:rPr>
      </w:pPr>
    </w:p>
    <w:p w:rsidR="00C219E6" w:rsidRPr="00C219E6" w:rsidRDefault="00C219E6" w:rsidP="00B6722E">
      <w:pPr>
        <w:tabs>
          <w:tab w:val="left" w:pos="9072"/>
        </w:tabs>
        <w:jc w:val="both"/>
        <w:rPr>
          <w:sz w:val="26"/>
          <w:szCs w:val="26"/>
        </w:rPr>
      </w:pPr>
      <w:r w:rsidRPr="00C219E6">
        <w:rPr>
          <w:sz w:val="26"/>
          <w:szCs w:val="26"/>
        </w:rPr>
        <w:t>Глава   муниципального образования</w:t>
      </w:r>
    </w:p>
    <w:p w:rsidR="00C219E6" w:rsidRPr="00C219E6" w:rsidRDefault="00C219E6" w:rsidP="00B6722E">
      <w:pPr>
        <w:tabs>
          <w:tab w:val="left" w:pos="9072"/>
        </w:tabs>
        <w:jc w:val="both"/>
        <w:rPr>
          <w:sz w:val="26"/>
          <w:szCs w:val="26"/>
        </w:rPr>
      </w:pPr>
      <w:r w:rsidRPr="00C219E6">
        <w:rPr>
          <w:sz w:val="26"/>
          <w:szCs w:val="26"/>
        </w:rPr>
        <w:t xml:space="preserve">Рыбкинский сельсовет                                       </w:t>
      </w:r>
      <w:r w:rsidRPr="00C219E6">
        <w:rPr>
          <w:sz w:val="26"/>
          <w:szCs w:val="26"/>
        </w:rPr>
        <w:t xml:space="preserve">        </w:t>
      </w:r>
      <w:r w:rsidR="00B6722E">
        <w:rPr>
          <w:sz w:val="26"/>
          <w:szCs w:val="26"/>
        </w:rPr>
        <w:t xml:space="preserve">                        </w:t>
      </w:r>
      <w:r w:rsidRPr="00C219E6">
        <w:rPr>
          <w:sz w:val="26"/>
          <w:szCs w:val="26"/>
        </w:rPr>
        <w:t xml:space="preserve"> </w:t>
      </w:r>
      <w:r w:rsidRPr="00C219E6">
        <w:rPr>
          <w:sz w:val="26"/>
          <w:szCs w:val="26"/>
        </w:rPr>
        <w:t>Ю.П.Колесников</w:t>
      </w:r>
    </w:p>
    <w:p w:rsidR="00C219E6" w:rsidRPr="00C219E6" w:rsidRDefault="00C219E6" w:rsidP="00B6722E">
      <w:pPr>
        <w:tabs>
          <w:tab w:val="left" w:pos="9072"/>
        </w:tabs>
        <w:jc w:val="both"/>
        <w:rPr>
          <w:sz w:val="26"/>
          <w:szCs w:val="26"/>
        </w:rPr>
      </w:pPr>
    </w:p>
    <w:p w:rsidR="00C219E6" w:rsidRPr="00C219E6" w:rsidRDefault="00C219E6" w:rsidP="00B6722E">
      <w:pPr>
        <w:tabs>
          <w:tab w:val="left" w:pos="9072"/>
        </w:tabs>
        <w:jc w:val="both"/>
        <w:rPr>
          <w:sz w:val="26"/>
          <w:szCs w:val="26"/>
        </w:rPr>
      </w:pPr>
    </w:p>
    <w:p w:rsidR="00C219E6" w:rsidRPr="00C219E6" w:rsidRDefault="00C219E6" w:rsidP="00B6722E">
      <w:pPr>
        <w:tabs>
          <w:tab w:val="left" w:pos="9072"/>
        </w:tabs>
        <w:jc w:val="both"/>
        <w:rPr>
          <w:sz w:val="26"/>
          <w:szCs w:val="26"/>
        </w:rPr>
      </w:pPr>
      <w:r w:rsidRPr="00C219E6">
        <w:rPr>
          <w:sz w:val="26"/>
          <w:szCs w:val="26"/>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C219E6" w:rsidRPr="00C219E6" w:rsidRDefault="00C219E6" w:rsidP="00C219E6">
      <w:pPr>
        <w:tabs>
          <w:tab w:val="left" w:pos="9072"/>
        </w:tabs>
        <w:ind w:firstLine="567"/>
        <w:jc w:val="both"/>
        <w:rPr>
          <w:sz w:val="26"/>
          <w:szCs w:val="26"/>
        </w:rPr>
      </w:pPr>
    </w:p>
    <w:p w:rsidR="00C219E6" w:rsidRPr="00C219E6" w:rsidRDefault="00C219E6" w:rsidP="00C219E6">
      <w:pPr>
        <w:tabs>
          <w:tab w:val="left" w:pos="9072"/>
        </w:tabs>
        <w:ind w:firstLine="567"/>
        <w:jc w:val="both"/>
        <w:rPr>
          <w:sz w:val="26"/>
          <w:szCs w:val="26"/>
        </w:rPr>
      </w:pPr>
    </w:p>
    <w:p w:rsidR="00C219E6" w:rsidRPr="00C219E6" w:rsidRDefault="00C219E6" w:rsidP="00C219E6">
      <w:pPr>
        <w:tabs>
          <w:tab w:val="left" w:pos="9072"/>
        </w:tabs>
        <w:ind w:firstLine="567"/>
        <w:jc w:val="right"/>
        <w:rPr>
          <w:sz w:val="26"/>
          <w:szCs w:val="26"/>
        </w:rPr>
      </w:pPr>
      <w:r w:rsidRPr="00C219E6">
        <w:rPr>
          <w:sz w:val="26"/>
          <w:szCs w:val="26"/>
        </w:rPr>
        <w:lastRenderedPageBreak/>
        <w:t xml:space="preserve">    Приложение                                                                                            </w:t>
      </w:r>
    </w:p>
    <w:p w:rsidR="00C219E6" w:rsidRPr="00C219E6" w:rsidRDefault="00C219E6" w:rsidP="00C219E6">
      <w:pPr>
        <w:tabs>
          <w:tab w:val="left" w:pos="9072"/>
        </w:tabs>
        <w:ind w:firstLine="567"/>
        <w:jc w:val="right"/>
        <w:rPr>
          <w:sz w:val="26"/>
          <w:szCs w:val="26"/>
        </w:rPr>
      </w:pPr>
      <w:r w:rsidRPr="00C219E6">
        <w:rPr>
          <w:sz w:val="26"/>
          <w:szCs w:val="26"/>
        </w:rPr>
        <w:t>к постановлению администрации</w:t>
      </w:r>
    </w:p>
    <w:p w:rsidR="00C219E6" w:rsidRPr="00C219E6" w:rsidRDefault="00C219E6" w:rsidP="00C219E6">
      <w:pPr>
        <w:tabs>
          <w:tab w:val="left" w:pos="9072"/>
        </w:tabs>
        <w:ind w:firstLine="567"/>
        <w:jc w:val="right"/>
        <w:rPr>
          <w:sz w:val="26"/>
          <w:szCs w:val="26"/>
        </w:rPr>
      </w:pPr>
      <w:r w:rsidRPr="00C219E6">
        <w:rPr>
          <w:sz w:val="26"/>
          <w:szCs w:val="26"/>
        </w:rPr>
        <w:t xml:space="preserve">муниципального образования </w:t>
      </w:r>
    </w:p>
    <w:p w:rsidR="00C219E6" w:rsidRPr="00C219E6" w:rsidRDefault="00C219E6" w:rsidP="00C219E6">
      <w:pPr>
        <w:tabs>
          <w:tab w:val="left" w:pos="9072"/>
        </w:tabs>
        <w:ind w:firstLine="567"/>
        <w:jc w:val="right"/>
        <w:rPr>
          <w:sz w:val="26"/>
          <w:szCs w:val="26"/>
        </w:rPr>
      </w:pPr>
      <w:r w:rsidRPr="00C219E6">
        <w:rPr>
          <w:sz w:val="26"/>
          <w:szCs w:val="26"/>
        </w:rPr>
        <w:t>Рыбкинского сельсовета</w:t>
      </w:r>
    </w:p>
    <w:p w:rsidR="00C219E6" w:rsidRDefault="00C219E6" w:rsidP="00C219E6">
      <w:pPr>
        <w:tabs>
          <w:tab w:val="left" w:pos="9072"/>
        </w:tabs>
        <w:ind w:firstLine="567"/>
        <w:jc w:val="right"/>
        <w:rPr>
          <w:sz w:val="28"/>
          <w:szCs w:val="28"/>
        </w:rPr>
      </w:pPr>
      <w:r w:rsidRPr="00C219E6">
        <w:rPr>
          <w:sz w:val="26"/>
          <w:szCs w:val="26"/>
        </w:rPr>
        <w:t xml:space="preserve">                                                                                     от 12</w:t>
      </w:r>
      <w:r>
        <w:rPr>
          <w:sz w:val="28"/>
          <w:szCs w:val="28"/>
        </w:rPr>
        <w:t>.04.2023 г. № 37</w:t>
      </w:r>
      <w:r w:rsidRPr="00C219E6">
        <w:rPr>
          <w:sz w:val="28"/>
          <w:szCs w:val="28"/>
        </w:rPr>
        <w:t>-п</w:t>
      </w:r>
    </w:p>
    <w:p w:rsidR="00B6722E" w:rsidRDefault="00B6722E" w:rsidP="00C219E6">
      <w:pPr>
        <w:tabs>
          <w:tab w:val="left" w:pos="9072"/>
        </w:tabs>
        <w:ind w:firstLine="567"/>
        <w:jc w:val="right"/>
        <w:rPr>
          <w:sz w:val="28"/>
          <w:szCs w:val="28"/>
        </w:rPr>
      </w:pPr>
    </w:p>
    <w:p w:rsidR="00B6722E" w:rsidRPr="00B6722E" w:rsidRDefault="00B6722E" w:rsidP="00B6722E">
      <w:pPr>
        <w:jc w:val="center"/>
        <w:outlineLvl w:val="0"/>
        <w:rPr>
          <w:rFonts w:eastAsia="Calibri"/>
          <w:b/>
          <w:bCs/>
          <w:sz w:val="26"/>
          <w:szCs w:val="26"/>
          <w:lang w:eastAsia="en-US"/>
        </w:rPr>
      </w:pPr>
      <w:r w:rsidRPr="00B6722E">
        <w:rPr>
          <w:rFonts w:eastAsia="Calibri"/>
          <w:b/>
          <w:bCs/>
          <w:sz w:val="26"/>
          <w:szCs w:val="26"/>
          <w:lang w:eastAsia="en-US"/>
        </w:rPr>
        <w:t>Коды целевых статей расходов бюджета муниципального образования Рыбкинский сельсовет Новосергиевского района Оренбургской области и их наименования</w:t>
      </w:r>
    </w:p>
    <w:p w:rsidR="00B6722E" w:rsidRPr="00B6722E" w:rsidRDefault="00B6722E" w:rsidP="00B6722E">
      <w:pPr>
        <w:rPr>
          <w:sz w:val="26"/>
          <w:szCs w:val="26"/>
        </w:rPr>
      </w:pPr>
    </w:p>
    <w:p w:rsidR="00B6722E" w:rsidRPr="00B6722E" w:rsidRDefault="00B6722E" w:rsidP="00B6722E">
      <w:pPr>
        <w:overflowPunct/>
        <w:autoSpaceDE/>
        <w:adjustRightInd/>
        <w:jc w:val="both"/>
        <w:rPr>
          <w:rFonts w:eastAsia="Arial Unicode MS"/>
          <w:sz w:val="26"/>
          <w:szCs w:val="26"/>
          <w:lang w:bidi="ru-RU"/>
        </w:rPr>
      </w:pPr>
    </w:p>
    <w:tbl>
      <w:tblPr>
        <w:tblW w:w="18138" w:type="dxa"/>
        <w:tblInd w:w="108" w:type="dxa"/>
        <w:tblLook w:val="04A0" w:firstRow="1" w:lastRow="0" w:firstColumn="1" w:lastColumn="0" w:noHBand="0" w:noVBand="1"/>
      </w:tblPr>
      <w:tblGrid>
        <w:gridCol w:w="9753"/>
        <w:gridCol w:w="8385"/>
      </w:tblGrid>
      <w:tr w:rsidR="00B6722E" w:rsidRPr="00B6722E" w:rsidTr="00B6722E">
        <w:trPr>
          <w:trHeight w:val="315"/>
        </w:trPr>
        <w:tc>
          <w:tcPr>
            <w:tcW w:w="9753" w:type="dxa"/>
            <w:noWrap/>
            <w:hideMark/>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513"/>
            </w:tblGrid>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center"/>
                    <w:rPr>
                      <w:rFonts w:eastAsia="Calibri"/>
                      <w:color w:val="000000"/>
                      <w:sz w:val="26"/>
                      <w:szCs w:val="26"/>
                    </w:rPr>
                  </w:pPr>
                  <w:r w:rsidRPr="00B6722E">
                    <w:rPr>
                      <w:rFonts w:eastAsia="Calibri"/>
                      <w:color w:val="000000"/>
                      <w:sz w:val="26"/>
                      <w:szCs w:val="26"/>
                    </w:rPr>
                    <w:t>Код ЦСР</w:t>
                  </w:r>
                </w:p>
              </w:tc>
              <w:tc>
                <w:tcPr>
                  <w:tcW w:w="7513"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center"/>
                    <w:rPr>
                      <w:rFonts w:eastAsia="Calibri"/>
                      <w:color w:val="000000"/>
                      <w:sz w:val="26"/>
                      <w:szCs w:val="26"/>
                    </w:rPr>
                  </w:pPr>
                  <w:r w:rsidRPr="00B6722E">
                    <w:rPr>
                      <w:rFonts w:eastAsia="Calibri"/>
                      <w:color w:val="000000"/>
                      <w:sz w:val="26"/>
                      <w:szCs w:val="26"/>
                    </w:rPr>
                    <w:t>Наименование ЦСР</w:t>
                  </w:r>
                </w:p>
              </w:tc>
            </w:tr>
            <w:tr w:rsidR="00B6722E" w:rsidRPr="00B6722E">
              <w:trPr>
                <w:trHeight w:val="587"/>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b/>
                      <w:bCs/>
                      <w:color w:val="000000"/>
                      <w:sz w:val="26"/>
                      <w:szCs w:val="26"/>
                    </w:rPr>
                  </w:pPr>
                  <w:r w:rsidRPr="00B6722E">
                    <w:rPr>
                      <w:rFonts w:eastAsia="Calibri"/>
                      <w:b/>
                      <w:bCs/>
                      <w:color w:val="000000"/>
                      <w:sz w:val="26"/>
                      <w:szCs w:val="26"/>
                    </w:rPr>
                    <w:t>20 0 00 00000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b/>
                      <w:bCs/>
                      <w:color w:val="000000"/>
                      <w:sz w:val="26"/>
                      <w:szCs w:val="26"/>
                    </w:rPr>
                  </w:pPr>
                  <w:r w:rsidRPr="00B6722E">
                    <w:rPr>
                      <w:rFonts w:eastAsia="Calibri"/>
                      <w:b/>
                      <w:bCs/>
                      <w:color w:val="000000"/>
                      <w:sz w:val="26"/>
                      <w:szCs w:val="26"/>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lang w:val="en-US"/>
                    </w:rPr>
                    <w:t>20</w:t>
                  </w:r>
                  <w:r w:rsidRPr="00B6722E">
                    <w:rPr>
                      <w:rFonts w:eastAsia="Calibri"/>
                      <w:color w:val="000000"/>
                      <w:sz w:val="26"/>
                      <w:szCs w:val="26"/>
                    </w:rPr>
                    <w:t xml:space="preserve"> 4 00 00000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Комплексы процессных мероприятий</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lang w:val="en-US"/>
                    </w:rPr>
                    <w:t>20</w:t>
                  </w:r>
                  <w:r w:rsidRPr="00B6722E">
                    <w:rPr>
                      <w:rFonts w:eastAsia="Calibri"/>
                      <w:color w:val="000000"/>
                      <w:sz w:val="26"/>
                      <w:szCs w:val="26"/>
                    </w:rPr>
                    <w:t xml:space="preserve"> 4 01 00000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«Анализ эффективности бюджетных расходов на осуществление полномочий органов местного самоуправления»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20 4 01 10010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Высшее должностное лицо органов местного самоуправления</w:t>
                  </w:r>
                </w:p>
              </w:tc>
            </w:tr>
            <w:tr w:rsidR="00B6722E" w:rsidRPr="00B6722E">
              <w:trPr>
                <w:trHeight w:val="51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sz w:val="26"/>
                      <w:szCs w:val="26"/>
                    </w:rPr>
                  </w:pPr>
                  <w:r w:rsidRPr="00B6722E">
                    <w:rPr>
                      <w:rFonts w:eastAsia="Calibri"/>
                      <w:color w:val="000000"/>
                      <w:sz w:val="26"/>
                      <w:szCs w:val="26"/>
                    </w:rPr>
                    <w:t>20 4 01 10020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Центральный аппарат</w:t>
                  </w:r>
                </w:p>
              </w:tc>
            </w:tr>
            <w:tr w:rsidR="00B6722E" w:rsidRPr="00B6722E">
              <w:trPr>
                <w:trHeight w:val="478"/>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sz w:val="26"/>
                      <w:szCs w:val="26"/>
                    </w:rPr>
                  </w:pPr>
                  <w:r w:rsidRPr="00B6722E">
                    <w:rPr>
                      <w:rFonts w:eastAsia="Calibri"/>
                      <w:color w:val="000000"/>
                      <w:sz w:val="26"/>
                      <w:szCs w:val="26"/>
                    </w:rPr>
                    <w:t>20 4 01 10021</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Центральный аппарат (работники ОМСУ)</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20 4 01 99930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Доплаты к пенсиям муниципальных  служащих муниципального образования</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20 4 01 99940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Осуществление полномочий по обеспечению внутреннего финансового контроля и контроля в сфере закупок</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sz w:val="26"/>
                      <w:szCs w:val="26"/>
                    </w:rPr>
                  </w:pPr>
                  <w:r w:rsidRPr="00B6722E">
                    <w:rPr>
                      <w:rFonts w:eastAsia="Calibri"/>
                      <w:color w:val="000000"/>
                      <w:sz w:val="26"/>
                      <w:szCs w:val="26"/>
                    </w:rPr>
                    <w:t>20 4 01 99960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Осуществление полномочий по обеспечению внешнего муниципального финансового контроля</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20 4 01 99980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Осуществление полномочий по составлению проекта бюджета поселения, исполнению бюджета поселения, </w:t>
                  </w:r>
                  <w:proofErr w:type="gramStart"/>
                  <w:r w:rsidRPr="00B6722E">
                    <w:rPr>
                      <w:rFonts w:eastAsia="Calibri"/>
                      <w:color w:val="000000"/>
                      <w:sz w:val="26"/>
                      <w:szCs w:val="26"/>
                    </w:rPr>
                    <w:t>контролю за</w:t>
                  </w:r>
                  <w:proofErr w:type="gramEnd"/>
                  <w:r w:rsidRPr="00B6722E">
                    <w:rPr>
                      <w:rFonts w:eastAsia="Calibri"/>
                      <w:color w:val="000000"/>
                      <w:sz w:val="26"/>
                      <w:szCs w:val="26"/>
                    </w:rPr>
                    <w:t xml:space="preserve"> его исполнением, составлению отчета об исполнении бюджета поселения</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lang w:val="en-US"/>
                    </w:rPr>
                    <w:t>20</w:t>
                  </w:r>
                  <w:r w:rsidRPr="00B6722E">
                    <w:rPr>
                      <w:rFonts w:eastAsia="Calibri"/>
                      <w:color w:val="000000"/>
                      <w:sz w:val="26"/>
                      <w:szCs w:val="26"/>
                    </w:rPr>
                    <w:t xml:space="preserve"> 4 02 00000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sz w:val="26"/>
                      <w:szCs w:val="26"/>
                    </w:rPr>
                  </w:pPr>
                  <w:r w:rsidRPr="00B6722E">
                    <w:rPr>
                      <w:rFonts w:eastAsia="Calibri"/>
                      <w:color w:val="000000"/>
                      <w:sz w:val="26"/>
                      <w:szCs w:val="26"/>
                    </w:rPr>
                    <w:t>20 4 02 99010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Регулирование отношений по муниципальной собственности</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sz w:val="26"/>
                      <w:szCs w:val="26"/>
                    </w:rPr>
                  </w:pPr>
                  <w:r w:rsidRPr="00B6722E">
                    <w:rPr>
                      <w:rFonts w:eastAsia="Calibri"/>
                      <w:color w:val="000000"/>
                      <w:sz w:val="26"/>
                      <w:szCs w:val="26"/>
                    </w:rPr>
                    <w:t>20 4 03 00000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«Обеспечение защиты населения и территории муниципального образования от чрезвычайных ситуаций»</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20 4 03 990</w:t>
                  </w:r>
                  <w:r w:rsidRPr="00B6722E">
                    <w:rPr>
                      <w:rFonts w:eastAsia="Calibri"/>
                      <w:color w:val="000000"/>
                      <w:sz w:val="26"/>
                      <w:szCs w:val="26"/>
                      <w:lang w:val="en-US"/>
                    </w:rPr>
                    <w:t>5</w:t>
                  </w:r>
                  <w:r w:rsidRPr="00B6722E">
                    <w:rPr>
                      <w:rFonts w:eastAsia="Calibri"/>
                      <w:color w:val="000000"/>
                      <w:sz w:val="26"/>
                      <w:szCs w:val="26"/>
                    </w:rPr>
                    <w:t>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Организационные мероприятия по предупреждению и предотвращению случаев чрезвычайных ситуаций</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sz w:val="26"/>
                      <w:szCs w:val="26"/>
                    </w:rPr>
                  </w:pPr>
                  <w:r w:rsidRPr="00B6722E">
                    <w:rPr>
                      <w:rFonts w:eastAsia="Calibri"/>
                      <w:color w:val="000000"/>
                      <w:sz w:val="26"/>
                      <w:szCs w:val="26"/>
                    </w:rPr>
                    <w:t>20 4 0</w:t>
                  </w:r>
                  <w:r w:rsidRPr="00B6722E">
                    <w:rPr>
                      <w:rFonts w:eastAsia="Calibri"/>
                      <w:color w:val="000000"/>
                      <w:sz w:val="26"/>
                      <w:szCs w:val="26"/>
                      <w:lang w:val="en-US"/>
                    </w:rPr>
                    <w:t xml:space="preserve">4 </w:t>
                  </w:r>
                  <w:r w:rsidRPr="00B6722E">
                    <w:rPr>
                      <w:rFonts w:eastAsia="Calibri"/>
                      <w:color w:val="000000"/>
                      <w:sz w:val="26"/>
                      <w:szCs w:val="26"/>
                    </w:rPr>
                    <w:t>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Комплекс процессных мероприятий «Разработка и утверждение комплекса мер по обеспечению пожарной безопасности </w:t>
                  </w:r>
                  <w:r w:rsidRPr="00B6722E">
                    <w:rPr>
                      <w:rFonts w:eastAsia="Calibri"/>
                      <w:color w:val="000000"/>
                      <w:sz w:val="26"/>
                      <w:szCs w:val="26"/>
                    </w:rPr>
                    <w:lastRenderedPageBreak/>
                    <w:t>муниципального образования»</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lastRenderedPageBreak/>
                    <w:t>20 4 0</w:t>
                  </w:r>
                  <w:r w:rsidRPr="00B6722E">
                    <w:rPr>
                      <w:rFonts w:eastAsia="Calibri"/>
                      <w:color w:val="000000"/>
                      <w:sz w:val="26"/>
                      <w:szCs w:val="26"/>
                      <w:lang w:val="en-US"/>
                    </w:rPr>
                    <w:t xml:space="preserve">4 </w:t>
                  </w:r>
                  <w:r w:rsidRPr="00B6722E">
                    <w:rPr>
                      <w:rFonts w:eastAsia="Calibri"/>
                      <w:color w:val="000000"/>
                      <w:sz w:val="26"/>
                      <w:szCs w:val="26"/>
                    </w:rPr>
                    <w:t>99060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Реализация мероприятий по пожарной безопасности, обеспечение деятельности добровольных пожарных команд</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w:t>
                  </w:r>
                  <w:r w:rsidRPr="00B6722E">
                    <w:rPr>
                      <w:rFonts w:eastAsia="Calibri"/>
                      <w:color w:val="000000"/>
                      <w:sz w:val="26"/>
                      <w:szCs w:val="26"/>
                      <w:lang w:val="en-US"/>
                    </w:rPr>
                    <w:t>5</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«Обеспечение деятельности народных дружин»</w:t>
                  </w:r>
                </w:p>
              </w:tc>
            </w:tr>
            <w:tr w:rsidR="00B6722E" w:rsidRPr="00B6722E">
              <w:trPr>
                <w:trHeight w:val="452"/>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rPr>
                    <w:t>20 4 0</w:t>
                  </w:r>
                  <w:r w:rsidRPr="00B6722E">
                    <w:rPr>
                      <w:rFonts w:eastAsia="Calibri"/>
                      <w:color w:val="000000"/>
                      <w:sz w:val="26"/>
                      <w:szCs w:val="26"/>
                      <w:lang w:val="en-US"/>
                    </w:rPr>
                    <w:t>5</w:t>
                  </w:r>
                  <w:r w:rsidRPr="00B6722E">
                    <w:rPr>
                      <w:rFonts w:eastAsia="Calibri"/>
                      <w:color w:val="000000"/>
                      <w:sz w:val="26"/>
                      <w:szCs w:val="26"/>
                    </w:rPr>
                    <w:t xml:space="preserve"> 99090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Создание условий для деятельности народных дружин</w:t>
                  </w:r>
                </w:p>
              </w:tc>
            </w:tr>
            <w:tr w:rsidR="00B6722E" w:rsidRPr="00B6722E">
              <w:trPr>
                <w:trHeight w:val="350"/>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w:t>
                  </w:r>
                  <w:r w:rsidRPr="00B6722E">
                    <w:rPr>
                      <w:rFonts w:eastAsia="Calibri"/>
                      <w:color w:val="000000"/>
                      <w:sz w:val="26"/>
                      <w:szCs w:val="26"/>
                      <w:lang w:val="en-US"/>
                    </w:rPr>
                    <w:t>6</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«Содержание и ремонт автомобильных дорог поселения и искусственных сооружений на них»</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rPr>
                    <w:t>20 4 0</w:t>
                  </w:r>
                  <w:r w:rsidRPr="00B6722E">
                    <w:rPr>
                      <w:rFonts w:eastAsia="Calibri"/>
                      <w:color w:val="000000"/>
                      <w:sz w:val="26"/>
                      <w:szCs w:val="26"/>
                      <w:lang w:val="en-US"/>
                    </w:rPr>
                    <w:t>6</w:t>
                  </w:r>
                  <w:r w:rsidRPr="00B6722E">
                    <w:rPr>
                      <w:rFonts w:eastAsia="Calibri"/>
                      <w:color w:val="000000"/>
                      <w:sz w:val="26"/>
                      <w:szCs w:val="26"/>
                    </w:rPr>
                    <w:t xml:space="preserve"> 99070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Ремонт и содержание автомобильных дорог общего пользования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rPr>
                    <w:t>20 4 0</w:t>
                  </w:r>
                  <w:r w:rsidRPr="00B6722E">
                    <w:rPr>
                      <w:rFonts w:eastAsia="Calibri"/>
                      <w:color w:val="000000"/>
                      <w:sz w:val="26"/>
                      <w:szCs w:val="26"/>
                      <w:lang w:val="en-US"/>
                    </w:rPr>
                    <w:t>6 S0410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Обеспечение </w:t>
                  </w:r>
                  <w:proofErr w:type="spellStart"/>
                  <w:r w:rsidRPr="00B6722E">
                    <w:rPr>
                      <w:rFonts w:eastAsia="Calibri"/>
                      <w:color w:val="000000"/>
                      <w:sz w:val="26"/>
                      <w:szCs w:val="26"/>
                    </w:rPr>
                    <w:t>софинан</w:t>
                  </w:r>
                  <w:bookmarkStart w:id="0" w:name="_GoBack"/>
                  <w:bookmarkEnd w:id="0"/>
                  <w:r w:rsidRPr="00B6722E">
                    <w:rPr>
                      <w:rFonts w:eastAsia="Calibri"/>
                      <w:color w:val="000000"/>
                      <w:sz w:val="26"/>
                      <w:szCs w:val="26"/>
                    </w:rPr>
                    <w:t>сирования</w:t>
                  </w:r>
                  <w:proofErr w:type="spellEnd"/>
                  <w:r w:rsidRPr="00B6722E">
                    <w:rPr>
                      <w:rFonts w:eastAsia="Calibri"/>
                      <w:color w:val="000000"/>
                      <w:sz w:val="26"/>
                      <w:szCs w:val="26"/>
                    </w:rPr>
                    <w:t xml:space="preserve"> капитального ремонта и </w:t>
                  </w:r>
                  <w:proofErr w:type="gramStart"/>
                  <w:r w:rsidRPr="00B6722E">
                    <w:rPr>
                      <w:rFonts w:eastAsia="Calibri"/>
                      <w:color w:val="000000"/>
                      <w:sz w:val="26"/>
                      <w:szCs w:val="26"/>
                    </w:rPr>
                    <w:t>ремонта</w:t>
                  </w:r>
                  <w:proofErr w:type="gramEnd"/>
                  <w:r w:rsidRPr="00B6722E">
                    <w:rPr>
                      <w:rFonts w:eastAsia="Calibri"/>
                      <w:color w:val="000000"/>
                      <w:sz w:val="26"/>
                      <w:szCs w:val="26"/>
                    </w:rPr>
                    <w:t xml:space="preserve"> автомобильных дорог общего пользования населенного пункта</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w:t>
                  </w:r>
                  <w:r w:rsidRPr="00B6722E">
                    <w:rPr>
                      <w:rFonts w:eastAsia="Calibri"/>
                      <w:color w:val="000000"/>
                      <w:sz w:val="26"/>
                      <w:szCs w:val="26"/>
                      <w:lang w:val="en-US"/>
                    </w:rPr>
                    <w:t>7</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«Мероприятия по землеустройству и землепользованию»</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20 </w:t>
                  </w:r>
                  <w:r w:rsidRPr="00B6722E">
                    <w:rPr>
                      <w:rFonts w:eastAsia="Calibri"/>
                      <w:color w:val="000000"/>
                      <w:sz w:val="26"/>
                      <w:szCs w:val="26"/>
                      <w:lang w:val="en-US"/>
                    </w:rPr>
                    <w:t xml:space="preserve">4 07 </w:t>
                  </w:r>
                  <w:r w:rsidRPr="00B6722E">
                    <w:rPr>
                      <w:rFonts w:eastAsia="Calibri"/>
                      <w:color w:val="000000"/>
                      <w:sz w:val="26"/>
                      <w:szCs w:val="26"/>
                    </w:rPr>
                    <w:t>99080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Реализация мероприятий по повышению эффективности использования земельных участков</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20 </w:t>
                  </w:r>
                  <w:r w:rsidRPr="00B6722E">
                    <w:rPr>
                      <w:rFonts w:eastAsia="Calibri"/>
                      <w:color w:val="000000"/>
                      <w:sz w:val="26"/>
                      <w:szCs w:val="26"/>
                      <w:lang w:val="en-US"/>
                    </w:rPr>
                    <w:t xml:space="preserve">4 07 </w:t>
                  </w:r>
                  <w:r w:rsidRPr="00B6722E">
                    <w:rPr>
                      <w:rFonts w:eastAsia="Calibri"/>
                      <w:color w:val="000000"/>
                      <w:sz w:val="26"/>
                      <w:szCs w:val="26"/>
                    </w:rPr>
                    <w:t>99950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w:t>
                  </w:r>
                  <w:r w:rsidRPr="00B6722E">
                    <w:rPr>
                      <w:rFonts w:eastAsia="Calibri"/>
                      <w:color w:val="000000"/>
                      <w:sz w:val="26"/>
                      <w:szCs w:val="26"/>
                      <w:lang w:val="en-US"/>
                    </w:rPr>
                    <w:t>8</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«Обеспечение сельских поселений муниципального образования документами территориального планирования и градостроительного зонирования»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20 </w:t>
                  </w:r>
                  <w:r w:rsidRPr="00B6722E">
                    <w:rPr>
                      <w:rFonts w:eastAsia="Calibri"/>
                      <w:color w:val="000000"/>
                      <w:sz w:val="26"/>
                      <w:szCs w:val="26"/>
                      <w:lang w:val="en-US"/>
                    </w:rPr>
                    <w:t xml:space="preserve">4 08 </w:t>
                  </w:r>
                  <w:r w:rsidRPr="00B6722E">
                    <w:rPr>
                      <w:rFonts w:eastAsia="Calibri"/>
                      <w:color w:val="000000"/>
                      <w:sz w:val="26"/>
                      <w:szCs w:val="26"/>
                    </w:rPr>
                    <w:t>S1510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в рамках подпрограммы «Развитие системы </w:t>
                  </w:r>
                  <w:proofErr w:type="spellStart"/>
                  <w:r w:rsidRPr="00B6722E">
                    <w:rPr>
                      <w:rFonts w:eastAsia="Calibri"/>
                      <w:color w:val="000000"/>
                      <w:sz w:val="26"/>
                      <w:szCs w:val="26"/>
                    </w:rPr>
                    <w:t>градорегулирования</w:t>
                  </w:r>
                  <w:proofErr w:type="spellEnd"/>
                  <w:r w:rsidRPr="00B6722E">
                    <w:rPr>
                      <w:rFonts w:eastAsia="Calibri"/>
                      <w:color w:val="000000"/>
                      <w:sz w:val="26"/>
                      <w:szCs w:val="26"/>
                    </w:rPr>
                    <w:t xml:space="preserve"> в Оренбургской области» государственной программы «Стимулирование развития жилищного строительства в Оренбургской области»</w:t>
                  </w:r>
                </w:p>
              </w:tc>
            </w:tr>
            <w:tr w:rsidR="00B6722E" w:rsidRPr="00B6722E">
              <w:trPr>
                <w:trHeight w:val="904"/>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rPr>
                      <w:rFonts w:eastAsia="Calibri"/>
                      <w:color w:val="000000"/>
                      <w:sz w:val="26"/>
                      <w:szCs w:val="26"/>
                    </w:rPr>
                  </w:pPr>
                  <w:r w:rsidRPr="00B6722E">
                    <w:rPr>
                      <w:rFonts w:eastAsia="Calibri"/>
                      <w:color w:val="000000"/>
                      <w:sz w:val="26"/>
                      <w:szCs w:val="26"/>
                    </w:rPr>
                    <w:t>20 4 0</w:t>
                  </w:r>
                  <w:r w:rsidRPr="00B6722E">
                    <w:rPr>
                      <w:rFonts w:eastAsia="Calibri"/>
                      <w:color w:val="000000"/>
                      <w:sz w:val="26"/>
                      <w:szCs w:val="26"/>
                      <w:lang w:val="en-US"/>
                    </w:rPr>
                    <w:t>9</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«Мероприятия  в области коммунального хозяйства»</w:t>
                  </w:r>
                </w:p>
              </w:tc>
            </w:tr>
            <w:tr w:rsidR="00B6722E" w:rsidRPr="00B6722E">
              <w:trPr>
                <w:trHeight w:val="473"/>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20 </w:t>
                  </w:r>
                  <w:r w:rsidRPr="00B6722E">
                    <w:rPr>
                      <w:rFonts w:eastAsia="Calibri"/>
                      <w:color w:val="000000"/>
                      <w:sz w:val="26"/>
                      <w:szCs w:val="26"/>
                      <w:lang w:val="en-US"/>
                    </w:rPr>
                    <w:t xml:space="preserve">4 09 </w:t>
                  </w:r>
                  <w:r w:rsidRPr="00B6722E">
                    <w:rPr>
                      <w:rFonts w:eastAsia="Calibri"/>
                      <w:color w:val="000000"/>
                      <w:sz w:val="26"/>
                      <w:szCs w:val="26"/>
                    </w:rPr>
                    <w:t>99012</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Содержание объектов коммунальной инфраструктуры</w:t>
                  </w:r>
                </w:p>
              </w:tc>
            </w:tr>
            <w:tr w:rsidR="00B6722E" w:rsidRPr="00B6722E">
              <w:trPr>
                <w:trHeight w:val="473"/>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lang w:val="en-US"/>
                    </w:rPr>
                    <w:t>20 4 09 S0450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Капитальные вложения в объекты коммунальной инфраструктуры</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rFonts w:eastAsia="Calibri"/>
                      <w:color w:val="000000"/>
                      <w:sz w:val="26"/>
                      <w:szCs w:val="26"/>
                    </w:rPr>
                  </w:pPr>
                  <w:r w:rsidRPr="00B6722E">
                    <w:rPr>
                      <w:rFonts w:eastAsia="Calibri"/>
                      <w:color w:val="000000"/>
                      <w:sz w:val="26"/>
                      <w:szCs w:val="26"/>
                    </w:rPr>
                    <w:t xml:space="preserve">20 4 </w:t>
                  </w:r>
                  <w:r w:rsidRPr="00B6722E">
                    <w:rPr>
                      <w:rFonts w:eastAsia="Calibri"/>
                      <w:color w:val="000000"/>
                      <w:sz w:val="26"/>
                      <w:szCs w:val="26"/>
                      <w:lang w:val="en-US"/>
                    </w:rPr>
                    <w:t>10</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«Мероприятия по благоустройству поселений»</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rFonts w:eastAsia="Calibri"/>
                      <w:color w:val="000000"/>
                      <w:sz w:val="26"/>
                      <w:szCs w:val="26"/>
                    </w:rPr>
                  </w:pPr>
                  <w:r w:rsidRPr="00B6722E">
                    <w:rPr>
                      <w:rFonts w:eastAsia="Calibri"/>
                      <w:color w:val="000000"/>
                      <w:sz w:val="26"/>
                      <w:szCs w:val="26"/>
                    </w:rPr>
                    <w:t xml:space="preserve">20 4 </w:t>
                  </w:r>
                  <w:r w:rsidRPr="00B6722E">
                    <w:rPr>
                      <w:rFonts w:eastAsia="Calibri"/>
                      <w:color w:val="000000"/>
                      <w:sz w:val="26"/>
                      <w:szCs w:val="26"/>
                      <w:lang w:val="en-US"/>
                    </w:rPr>
                    <w:t xml:space="preserve">10 </w:t>
                  </w:r>
                  <w:r w:rsidRPr="00B6722E">
                    <w:rPr>
                      <w:rFonts w:eastAsia="Calibri"/>
                      <w:color w:val="000000"/>
                      <w:sz w:val="26"/>
                      <w:szCs w:val="26"/>
                    </w:rPr>
                    <w:t>99130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Уличное освещение</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rFonts w:eastAsia="Calibri"/>
                      <w:color w:val="000000"/>
                      <w:sz w:val="26"/>
                      <w:szCs w:val="26"/>
                    </w:rPr>
                  </w:pPr>
                  <w:r w:rsidRPr="00B6722E">
                    <w:rPr>
                      <w:rFonts w:eastAsia="Calibri"/>
                      <w:color w:val="000000"/>
                      <w:sz w:val="26"/>
                      <w:szCs w:val="26"/>
                    </w:rPr>
                    <w:lastRenderedPageBreak/>
                    <w:t>20 4 10 99140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Озеленение  </w:t>
                  </w:r>
                </w:p>
              </w:tc>
            </w:tr>
            <w:tr w:rsidR="00B6722E" w:rsidRPr="00B6722E">
              <w:trPr>
                <w:trHeight w:val="413"/>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sz w:val="26"/>
                      <w:szCs w:val="26"/>
                    </w:rPr>
                  </w:pPr>
                  <w:r w:rsidRPr="00B6722E">
                    <w:rPr>
                      <w:rFonts w:eastAsia="Calibri"/>
                      <w:color w:val="000000"/>
                      <w:sz w:val="26"/>
                      <w:szCs w:val="26"/>
                    </w:rPr>
                    <w:t xml:space="preserve">20 4 </w:t>
                  </w:r>
                  <w:r w:rsidRPr="00B6722E">
                    <w:rPr>
                      <w:rFonts w:eastAsia="Calibri"/>
                      <w:color w:val="000000"/>
                      <w:sz w:val="26"/>
                      <w:szCs w:val="26"/>
                      <w:lang w:val="en-US"/>
                    </w:rPr>
                    <w:t xml:space="preserve">10 </w:t>
                  </w:r>
                  <w:r w:rsidRPr="00B6722E">
                    <w:rPr>
                      <w:rFonts w:eastAsia="Calibri"/>
                      <w:color w:val="000000"/>
                      <w:sz w:val="26"/>
                      <w:szCs w:val="26"/>
                    </w:rPr>
                    <w:t>99150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Организация и содержание мест захоронения</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sz w:val="26"/>
                      <w:szCs w:val="26"/>
                    </w:rPr>
                  </w:pPr>
                  <w:r w:rsidRPr="00B6722E">
                    <w:rPr>
                      <w:rFonts w:eastAsia="Calibri"/>
                      <w:color w:val="000000"/>
                      <w:sz w:val="26"/>
                      <w:szCs w:val="26"/>
                    </w:rPr>
                    <w:t xml:space="preserve">20 4 </w:t>
                  </w:r>
                  <w:r w:rsidRPr="00B6722E">
                    <w:rPr>
                      <w:rFonts w:eastAsia="Calibri"/>
                      <w:color w:val="000000"/>
                      <w:sz w:val="26"/>
                      <w:szCs w:val="26"/>
                      <w:lang w:val="en-US"/>
                    </w:rPr>
                    <w:t xml:space="preserve">10 </w:t>
                  </w:r>
                  <w:r w:rsidRPr="00B6722E">
                    <w:rPr>
                      <w:rFonts w:eastAsia="Calibri"/>
                      <w:color w:val="000000"/>
                      <w:sz w:val="26"/>
                      <w:szCs w:val="26"/>
                    </w:rPr>
                    <w:t>99160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Прочие мероприятия по благоустройству поселений</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rFonts w:eastAsia="Calibri"/>
                      <w:color w:val="000000"/>
                      <w:sz w:val="26"/>
                      <w:szCs w:val="26"/>
                      <w:lang w:val="en-US"/>
                    </w:rPr>
                  </w:pPr>
                  <w:r w:rsidRPr="00B6722E">
                    <w:rPr>
                      <w:rFonts w:eastAsia="Calibri"/>
                      <w:color w:val="000000"/>
                      <w:sz w:val="26"/>
                      <w:szCs w:val="26"/>
                    </w:rPr>
                    <w:t xml:space="preserve">20 4 10 </w:t>
                  </w:r>
                  <w:r w:rsidRPr="00B6722E">
                    <w:rPr>
                      <w:rFonts w:eastAsia="Calibri"/>
                      <w:color w:val="000000"/>
                      <w:sz w:val="26"/>
                      <w:szCs w:val="26"/>
                      <w:lang w:val="en-US"/>
                    </w:rPr>
                    <w:t>L5760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Реализация мероприятий, направленных на комплексное развитие сельских территорий</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rPr>
                      <w:rFonts w:eastAsia="Calibri"/>
                      <w:color w:val="000000"/>
                      <w:sz w:val="26"/>
                      <w:szCs w:val="26"/>
                    </w:rPr>
                  </w:pPr>
                  <w:r w:rsidRPr="00B6722E">
                    <w:rPr>
                      <w:rFonts w:eastAsia="Calibri"/>
                      <w:color w:val="000000"/>
                      <w:sz w:val="26"/>
                      <w:szCs w:val="26"/>
                    </w:rPr>
                    <w:t>20 4 10 00060</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 xml:space="preserve">Реализация природоохранных мероприятий </w:t>
                  </w:r>
                </w:p>
              </w:tc>
            </w:tr>
            <w:tr w:rsidR="00B6722E" w:rsidRPr="00B6722E">
              <w:trPr>
                <w:trHeight w:val="654"/>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1 </w:t>
                  </w:r>
                  <w:r w:rsidRPr="00B6722E">
                    <w:rPr>
                      <w:rFonts w:eastAsia="Calibri"/>
                      <w:color w:val="000000"/>
                      <w:sz w:val="26"/>
                      <w:szCs w:val="26"/>
                    </w:rPr>
                    <w:t>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«Организация работы с детьми и молодежью»</w:t>
                  </w:r>
                </w:p>
              </w:tc>
            </w:tr>
            <w:tr w:rsidR="00B6722E" w:rsidRPr="00B6722E">
              <w:trPr>
                <w:trHeight w:val="706"/>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1 </w:t>
                  </w:r>
                  <w:r w:rsidRPr="00B6722E">
                    <w:rPr>
                      <w:rFonts w:eastAsia="Calibri"/>
                      <w:color w:val="000000"/>
                      <w:sz w:val="26"/>
                      <w:szCs w:val="26"/>
                    </w:rPr>
                    <w:t>99970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Обеспечение выполнения полномочия по организации работы с детьми и молодежью</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2 </w:t>
                  </w:r>
                  <w:r w:rsidRPr="00B6722E">
                    <w:rPr>
                      <w:rFonts w:eastAsia="Calibri"/>
                      <w:color w:val="000000"/>
                      <w:sz w:val="26"/>
                      <w:szCs w:val="26"/>
                    </w:rPr>
                    <w:t>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«Организация и обеспечение досуга жителей поселения услугами организаций культуры»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2 </w:t>
                  </w:r>
                  <w:r w:rsidRPr="00B6722E">
                    <w:rPr>
                      <w:rFonts w:eastAsia="Calibri"/>
                      <w:color w:val="000000"/>
                      <w:sz w:val="26"/>
                      <w:szCs w:val="26"/>
                    </w:rPr>
                    <w:t>79300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Межбюджетные трансферты на обеспечение повышения заработной платы работникам учреждений культуры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2 </w:t>
                  </w:r>
                  <w:r w:rsidRPr="00B6722E">
                    <w:rPr>
                      <w:rFonts w:eastAsia="Calibri"/>
                      <w:color w:val="000000"/>
                      <w:sz w:val="26"/>
                      <w:szCs w:val="26"/>
                    </w:rPr>
                    <w:t>99200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Содержание учреждений культуры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2 </w:t>
                  </w:r>
                  <w:r w:rsidRPr="00B6722E">
                    <w:rPr>
                      <w:rFonts w:eastAsia="Calibri"/>
                      <w:color w:val="000000"/>
                      <w:sz w:val="26"/>
                      <w:szCs w:val="26"/>
                    </w:rPr>
                    <w:t>99920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sz w:val="26"/>
                      <w:szCs w:val="26"/>
                    </w:rPr>
                    <w:t>Межбюджетные трансферты в рамках передаваемых полномочий в сфере культуры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3</w:t>
                  </w:r>
                  <w:r w:rsidRPr="00B6722E">
                    <w:rPr>
                      <w:rFonts w:eastAsia="Calibri"/>
                      <w:color w:val="000000"/>
                      <w:sz w:val="26"/>
                      <w:szCs w:val="26"/>
                    </w:rPr>
                    <w:t xml:space="preserve">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w:t>
                  </w:r>
                  <w:r w:rsidRPr="00B6722E">
                    <w:rPr>
                      <w:rFonts w:eastAsia="Calibri"/>
                      <w:color w:val="000000"/>
                      <w:sz w:val="26"/>
                      <w:szCs w:val="26"/>
                      <w:lang w:val="en-US"/>
                    </w:rPr>
                    <w:t xml:space="preserve">3 </w:t>
                  </w:r>
                  <w:r w:rsidRPr="00B6722E">
                    <w:rPr>
                      <w:rFonts w:eastAsia="Calibri"/>
                      <w:color w:val="000000"/>
                      <w:sz w:val="26"/>
                      <w:szCs w:val="26"/>
                    </w:rPr>
                    <w:t>99120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Мероприятия в области спорта и физической культуры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20 4 14 00000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Комплекс процессных мероприятий «Переселение граждан из жилых домов, признанных аварийными после 1 января 2017 года, расположенных на территории муниципального образования Рыбкинский сельсовет Новосергиевского района Оренбургской области»</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20 4 14 91420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spacing w:line="184" w:lineRule="atLeast"/>
                    <w:jc w:val="both"/>
                    <w:rPr>
                      <w:sz w:val="26"/>
                      <w:szCs w:val="26"/>
                    </w:rPr>
                  </w:pPr>
                  <w:r w:rsidRPr="00B6722E">
                    <w:rPr>
                      <w:sz w:val="26"/>
                      <w:szCs w:val="26"/>
                    </w:rPr>
                    <w:t>Мероприятия по переселению граждан из МКД и домов блокированной застройки, признанных аварийными после 1 января 2017 года</w:t>
                  </w:r>
                </w:p>
              </w:tc>
            </w:tr>
            <w:tr w:rsidR="00B6722E" w:rsidRPr="00B6722E">
              <w:trPr>
                <w:trHeight w:val="316"/>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b/>
                      <w:bCs/>
                      <w:color w:val="000000"/>
                      <w:sz w:val="26"/>
                      <w:szCs w:val="26"/>
                    </w:rPr>
                  </w:pPr>
                  <w:r w:rsidRPr="00B6722E">
                    <w:rPr>
                      <w:rFonts w:eastAsia="Calibri"/>
                      <w:b/>
                      <w:bCs/>
                      <w:color w:val="000000"/>
                      <w:sz w:val="26"/>
                      <w:szCs w:val="26"/>
                    </w:rPr>
                    <w:t>77 0 00 00000</w:t>
                  </w:r>
                </w:p>
              </w:tc>
              <w:tc>
                <w:tcPr>
                  <w:tcW w:w="7513"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b/>
                      <w:bCs/>
                      <w:color w:val="000000"/>
                      <w:sz w:val="26"/>
                      <w:szCs w:val="26"/>
                    </w:rPr>
                  </w:pPr>
                  <w:r w:rsidRPr="00B6722E">
                    <w:rPr>
                      <w:rFonts w:eastAsia="Calibri"/>
                      <w:b/>
                      <w:bCs/>
                      <w:color w:val="000000"/>
                      <w:sz w:val="26"/>
                      <w:szCs w:val="26"/>
                    </w:rPr>
                    <w:t>Непрограммные мероприятия</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77 1 00 00000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Руководство и управление в сфере установленных функций органов местного самоуправления Новосергиевского района</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lang w:val="en-US"/>
                    </w:rPr>
                    <w:t>77 1 00 10050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Обеспечение деятельности представительного органа муниципального образования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rPr>
                    <w:t xml:space="preserve">77 1 00 </w:t>
                  </w:r>
                  <w:r w:rsidRPr="00B6722E">
                    <w:rPr>
                      <w:rFonts w:eastAsia="Calibri"/>
                      <w:color w:val="000000"/>
                      <w:sz w:val="26"/>
                      <w:szCs w:val="26"/>
                      <w:lang w:val="en-US"/>
                    </w:rPr>
                    <w:t>51180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Субвенции на осуществление первичного воинского учета на территориях, где отсутствуют военные комиссариаты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77 2 00 00000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Прочие мероприятия в рамках управленческой деятельности</w:t>
                  </w:r>
                </w:p>
              </w:tc>
            </w:tr>
            <w:tr w:rsidR="00B6722E" w:rsidRPr="00B6722E">
              <w:trPr>
                <w:trHeight w:val="602"/>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rPr>
                    <w:t xml:space="preserve">77 2 00 </w:t>
                  </w:r>
                  <w:r w:rsidRPr="00B6722E">
                    <w:rPr>
                      <w:rFonts w:eastAsia="Calibri"/>
                      <w:color w:val="000000"/>
                      <w:sz w:val="26"/>
                      <w:szCs w:val="26"/>
                      <w:lang w:val="en-US"/>
                    </w:rPr>
                    <w:t>10110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r>
            <w:tr w:rsidR="00B6722E" w:rsidRPr="00B6722E">
              <w:trPr>
                <w:trHeight w:val="438"/>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77 2 00 28040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Материальные ресурсы для гражданской обороны</w:t>
                  </w:r>
                </w:p>
              </w:tc>
            </w:tr>
            <w:tr w:rsidR="00B6722E" w:rsidRPr="00B6722E">
              <w:trPr>
                <w:trHeight w:val="438"/>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lang w:val="en-US"/>
                    </w:rPr>
                  </w:pPr>
                  <w:r w:rsidRPr="00B6722E">
                    <w:rPr>
                      <w:rFonts w:eastAsia="Calibri"/>
                      <w:color w:val="000000"/>
                      <w:sz w:val="26"/>
                      <w:szCs w:val="26"/>
                      <w:lang w:val="en-US"/>
                    </w:rPr>
                    <w:lastRenderedPageBreak/>
                    <w:t>77 2 00 28050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Обеспечение организационно-технических условий для осуществления мероприятий в области гражданской обороны</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77 6 00 00000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Прочие непрограммные мероприятия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77 6 00 00050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Резервные фонды органов местного самоуправления</w:t>
                  </w:r>
                </w:p>
              </w:tc>
            </w:tr>
            <w:tr w:rsidR="00B6722E" w:rsidRPr="00B6722E">
              <w:trPr>
                <w:trHeight w:val="301"/>
              </w:trPr>
              <w:tc>
                <w:tcPr>
                  <w:tcW w:w="2014" w:type="dxa"/>
                  <w:tcBorders>
                    <w:top w:val="single" w:sz="4" w:space="0" w:color="auto"/>
                    <w:left w:val="single" w:sz="4" w:space="0" w:color="auto"/>
                    <w:bottom w:val="single" w:sz="4" w:space="0" w:color="auto"/>
                    <w:right w:val="single" w:sz="4" w:space="0" w:color="auto"/>
                  </w:tcBorders>
                  <w:noWrap/>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77 6 00 90020</w:t>
                  </w:r>
                </w:p>
              </w:tc>
              <w:tc>
                <w:tcPr>
                  <w:tcW w:w="7513" w:type="dxa"/>
                  <w:tcBorders>
                    <w:top w:val="single" w:sz="4" w:space="0" w:color="auto"/>
                    <w:left w:val="single" w:sz="4" w:space="0" w:color="auto"/>
                    <w:bottom w:val="single" w:sz="4" w:space="0" w:color="auto"/>
                    <w:right w:val="single" w:sz="4" w:space="0" w:color="auto"/>
                  </w:tcBorders>
                  <w:hideMark/>
                </w:tcPr>
                <w:p w:rsidR="00B6722E" w:rsidRPr="00B6722E" w:rsidRDefault="00B6722E">
                  <w:pPr>
                    <w:overflowPunct/>
                    <w:autoSpaceDE/>
                    <w:adjustRightInd/>
                    <w:jc w:val="both"/>
                    <w:rPr>
                      <w:rFonts w:eastAsia="Calibri"/>
                      <w:color w:val="000000"/>
                      <w:sz w:val="26"/>
                      <w:szCs w:val="26"/>
                    </w:rPr>
                  </w:pPr>
                  <w:r w:rsidRPr="00B6722E">
                    <w:rPr>
                      <w:rFonts w:eastAsia="Calibri"/>
                      <w:color w:val="000000"/>
                      <w:sz w:val="26"/>
                      <w:szCs w:val="26"/>
                    </w:rPr>
                    <w:t>Реализация мероприятий по проведению выборов и референдумов</w:t>
                  </w:r>
                </w:p>
              </w:tc>
            </w:tr>
          </w:tbl>
          <w:p w:rsidR="00B6722E" w:rsidRPr="00B6722E" w:rsidRDefault="00B6722E">
            <w:pPr>
              <w:overflowPunct/>
              <w:autoSpaceDE/>
              <w:adjustRightInd/>
              <w:rPr>
                <w:color w:val="000000"/>
                <w:sz w:val="26"/>
                <w:szCs w:val="26"/>
              </w:rPr>
            </w:pPr>
          </w:p>
        </w:tc>
        <w:tc>
          <w:tcPr>
            <w:tcW w:w="8385" w:type="dxa"/>
            <w:noWrap/>
            <w:vAlign w:val="bottom"/>
          </w:tcPr>
          <w:p w:rsidR="00B6722E" w:rsidRPr="00B6722E" w:rsidRDefault="00B6722E">
            <w:pPr>
              <w:overflowPunct/>
              <w:autoSpaceDE/>
              <w:adjustRightInd/>
              <w:jc w:val="both"/>
              <w:rPr>
                <w:color w:val="000000"/>
                <w:sz w:val="26"/>
                <w:szCs w:val="26"/>
              </w:rPr>
            </w:pPr>
          </w:p>
        </w:tc>
      </w:tr>
    </w:tbl>
    <w:p w:rsidR="00B6722E" w:rsidRPr="00FB2A78" w:rsidRDefault="00B6722E" w:rsidP="00C219E6">
      <w:pPr>
        <w:tabs>
          <w:tab w:val="left" w:pos="9072"/>
        </w:tabs>
        <w:ind w:firstLine="567"/>
        <w:jc w:val="right"/>
        <w:rPr>
          <w:sz w:val="28"/>
          <w:szCs w:val="28"/>
        </w:rPr>
      </w:pPr>
    </w:p>
    <w:sectPr w:rsidR="00B6722E" w:rsidRPr="00FB2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7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6722E"/>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19E6"/>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A78"/>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B2A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B2A78"/>
    <w:pPr>
      <w:overflowPunct/>
      <w:autoSpaceDE/>
      <w:autoSpaceDN/>
      <w:adjustRightInd/>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B2A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B2A78"/>
    <w:pPr>
      <w:overflowPunct/>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516">
      <w:bodyDiv w:val="1"/>
      <w:marLeft w:val="0"/>
      <w:marRight w:val="0"/>
      <w:marTop w:val="0"/>
      <w:marBottom w:val="0"/>
      <w:divBdr>
        <w:top w:val="none" w:sz="0" w:space="0" w:color="auto"/>
        <w:left w:val="none" w:sz="0" w:space="0" w:color="auto"/>
        <w:bottom w:val="none" w:sz="0" w:space="0" w:color="auto"/>
        <w:right w:val="none" w:sz="0" w:space="0" w:color="auto"/>
      </w:divBdr>
    </w:div>
    <w:div w:id="1261523132">
      <w:bodyDiv w:val="1"/>
      <w:marLeft w:val="0"/>
      <w:marRight w:val="0"/>
      <w:marTop w:val="0"/>
      <w:marBottom w:val="0"/>
      <w:divBdr>
        <w:top w:val="none" w:sz="0" w:space="0" w:color="auto"/>
        <w:left w:val="none" w:sz="0" w:space="0" w:color="auto"/>
        <w:bottom w:val="none" w:sz="0" w:space="0" w:color="auto"/>
        <w:right w:val="none" w:sz="0" w:space="0" w:color="auto"/>
      </w:divBdr>
    </w:div>
    <w:div w:id="15174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2023-04-13T10:13:00Z</dcterms:created>
  <dcterms:modified xsi:type="dcterms:W3CDTF">2023-04-13T10:22:00Z</dcterms:modified>
</cp:coreProperties>
</file>