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E8" w:rsidRDefault="008B22E8" w:rsidP="008B22E8">
      <w:pPr>
        <w:tabs>
          <w:tab w:val="left" w:pos="5529"/>
        </w:tabs>
        <w:spacing w:line="360" w:lineRule="auto"/>
        <w:ind w:right="3684"/>
        <w:jc w:val="center"/>
        <w:rPr>
          <w:b/>
        </w:rPr>
      </w:pPr>
      <w:r>
        <w:rPr>
          <w:b/>
        </w:rPr>
        <w:t>АДМИНИСТРАЦИЯ</w:t>
      </w:r>
    </w:p>
    <w:p w:rsidR="008B22E8" w:rsidRDefault="008B22E8" w:rsidP="008B22E8">
      <w:pPr>
        <w:tabs>
          <w:tab w:val="left" w:pos="5529"/>
          <w:tab w:val="left" w:pos="5670"/>
          <w:tab w:val="left" w:pos="5812"/>
        </w:tabs>
        <w:spacing w:line="360" w:lineRule="auto"/>
        <w:ind w:right="3684"/>
        <w:jc w:val="center"/>
        <w:rPr>
          <w:b/>
        </w:rPr>
      </w:pPr>
      <w:r>
        <w:rPr>
          <w:b/>
        </w:rPr>
        <w:t>МУНИЦИПАЛЬНОГО ОБРАЗОВАНИЯ</w:t>
      </w:r>
    </w:p>
    <w:p w:rsidR="008B22E8" w:rsidRDefault="008B22E8" w:rsidP="008B22E8">
      <w:pPr>
        <w:tabs>
          <w:tab w:val="left" w:pos="5529"/>
        </w:tabs>
        <w:spacing w:line="360" w:lineRule="auto"/>
        <w:ind w:right="3684"/>
        <w:jc w:val="center"/>
        <w:rPr>
          <w:b/>
        </w:rPr>
      </w:pPr>
      <w:r>
        <w:rPr>
          <w:b/>
        </w:rPr>
        <w:t>РЫБКИНСКИЙ СЕЛЬСОВЕТ</w:t>
      </w:r>
    </w:p>
    <w:p w:rsidR="008B22E8" w:rsidRDefault="008B22E8" w:rsidP="008B22E8">
      <w:pPr>
        <w:tabs>
          <w:tab w:val="left" w:pos="5529"/>
        </w:tabs>
        <w:spacing w:line="360" w:lineRule="auto"/>
        <w:ind w:right="3684"/>
        <w:jc w:val="center"/>
        <w:rPr>
          <w:b/>
        </w:rPr>
      </w:pPr>
      <w:r>
        <w:rPr>
          <w:b/>
        </w:rPr>
        <w:t>НОВОСЕРГИЕВСКОГО РАЙОНА</w:t>
      </w:r>
    </w:p>
    <w:p w:rsidR="008B22E8" w:rsidRDefault="008B22E8" w:rsidP="008B22E8">
      <w:pPr>
        <w:tabs>
          <w:tab w:val="left" w:pos="5529"/>
        </w:tabs>
        <w:spacing w:line="360" w:lineRule="auto"/>
        <w:ind w:right="3684"/>
        <w:jc w:val="center"/>
        <w:rPr>
          <w:b/>
        </w:rPr>
      </w:pPr>
      <w:r>
        <w:rPr>
          <w:b/>
        </w:rPr>
        <w:t>ОРЕНБУРГСКОЙ ОБЛАСТИ</w:t>
      </w:r>
    </w:p>
    <w:p w:rsidR="008B22E8" w:rsidRDefault="008B22E8" w:rsidP="008B22E8">
      <w:pPr>
        <w:tabs>
          <w:tab w:val="left" w:pos="5529"/>
        </w:tabs>
        <w:spacing w:line="360" w:lineRule="auto"/>
        <w:ind w:right="3684"/>
        <w:jc w:val="center"/>
        <w:rPr>
          <w:b/>
        </w:rPr>
      </w:pPr>
      <w:r>
        <w:rPr>
          <w:b/>
        </w:rPr>
        <w:t>ПОСТАНОВЛЕНИЕ</w:t>
      </w:r>
    </w:p>
    <w:p w:rsidR="008B22E8" w:rsidRDefault="008B22E8" w:rsidP="008B22E8">
      <w:pPr>
        <w:tabs>
          <w:tab w:val="left" w:pos="5529"/>
        </w:tabs>
        <w:ind w:right="3684"/>
        <w:jc w:val="center"/>
      </w:pPr>
      <w:r>
        <w:t>08.11.2022  г. № 82-п</w:t>
      </w:r>
    </w:p>
    <w:p w:rsidR="008B22E8" w:rsidRDefault="008B22E8" w:rsidP="008B22E8">
      <w:pPr>
        <w:tabs>
          <w:tab w:val="left" w:pos="5529"/>
        </w:tabs>
        <w:ind w:right="3684"/>
        <w:jc w:val="center"/>
      </w:pPr>
      <w:r>
        <w:t>с.Рыбкино</w:t>
      </w:r>
    </w:p>
    <w:p w:rsidR="008B22E8" w:rsidRDefault="008B22E8" w:rsidP="008B22E8">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8B22E8" w:rsidRDefault="008B22E8" w:rsidP="008B22E8">
      <w:pPr>
        <w:ind w:right="3825"/>
        <w:jc w:val="both"/>
        <w:rPr>
          <w:color w:val="000000"/>
        </w:rPr>
      </w:pPr>
      <w:r>
        <w:rPr>
          <w:color w:val="000000"/>
        </w:rPr>
        <w:t xml:space="preserve">Об утверждении основных направлений  бюджетной и налоговой политики </w:t>
      </w:r>
      <w:r>
        <w:t>муниципального образования Рыбкинский сельсовет Новосергиевского района Оренбургской области</w:t>
      </w:r>
      <w:r>
        <w:rPr>
          <w:color w:val="000000"/>
        </w:rPr>
        <w:t xml:space="preserve"> на 2023 год и на плановый период 2024 и 2025 годов</w:t>
      </w:r>
    </w:p>
    <w:p w:rsidR="008B22E8" w:rsidRDefault="008B22E8" w:rsidP="008B22E8">
      <w:pPr>
        <w:jc w:val="center"/>
        <w:rPr>
          <w:color w:val="BE3F3F"/>
        </w:rPr>
      </w:pPr>
    </w:p>
    <w:tbl>
      <w:tblPr>
        <w:tblW w:w="0" w:type="auto"/>
        <w:tblLayout w:type="fixed"/>
        <w:tblCellMar>
          <w:left w:w="70" w:type="dxa"/>
          <w:right w:w="70" w:type="dxa"/>
        </w:tblCellMar>
        <w:tblLook w:val="04A0" w:firstRow="1" w:lastRow="0" w:firstColumn="1" w:lastColumn="0" w:noHBand="0" w:noVBand="1"/>
      </w:tblPr>
      <w:tblGrid>
        <w:gridCol w:w="4748"/>
      </w:tblGrid>
      <w:tr w:rsidR="008B22E8" w:rsidTr="008B22E8">
        <w:tc>
          <w:tcPr>
            <w:tcW w:w="4748" w:type="dxa"/>
            <w:hideMark/>
          </w:tcPr>
          <w:p w:rsidR="008B22E8" w:rsidRDefault="008B22E8">
            <w:pPr>
              <w:snapToGrid w:val="0"/>
              <w:spacing w:line="276" w:lineRule="auto"/>
              <w:rPr>
                <w:lang w:eastAsia="zh-CN"/>
              </w:rPr>
            </w:pPr>
            <w:r>
              <w:rPr>
                <w:color w:val="BE3F3F"/>
                <w:lang w:eastAsia="en-US"/>
              </w:rPr>
              <w:t xml:space="preserve"> </w:t>
            </w:r>
          </w:p>
        </w:tc>
      </w:tr>
    </w:tbl>
    <w:p w:rsidR="008B22E8" w:rsidRDefault="008B22E8" w:rsidP="008B22E8">
      <w:pPr>
        <w:jc w:val="both"/>
        <w:rPr>
          <w:lang w:eastAsia="zh-CN"/>
        </w:rPr>
      </w:pPr>
      <w:r>
        <w:rPr>
          <w:color w:val="BE3F3F"/>
        </w:rPr>
        <w:t xml:space="preserve">          </w:t>
      </w:r>
      <w:r>
        <w:rPr>
          <w:color w:val="000000"/>
        </w:rPr>
        <w:t xml:space="preserve">В соответствии со статьями 172, 184.2 Бюджетного кодекса Российской Федерации,  решением  Совета депутатов муниципального образования Рыбкинский сельсовет от 06.12.2021 № 14/1 </w:t>
      </w:r>
      <w:proofErr w:type="spellStart"/>
      <w:r>
        <w:rPr>
          <w:color w:val="000000"/>
        </w:rPr>
        <w:t>р.С</w:t>
      </w:r>
      <w:proofErr w:type="spellEnd"/>
      <w:r>
        <w:rPr>
          <w:color w:val="000000"/>
        </w:rPr>
        <w:t>.  «Об утверждении Положения о бюджетном процессе в муниципальном образовании Рыбкинский сельсовет Новосергиевского района Оренбургской области»:</w:t>
      </w:r>
    </w:p>
    <w:p w:rsidR="008B22E8" w:rsidRDefault="008B22E8" w:rsidP="008B22E8">
      <w:pPr>
        <w:ind w:firstLine="567"/>
        <w:jc w:val="both"/>
      </w:pPr>
      <w:r>
        <w:rPr>
          <w:lang w:eastAsia="zh-CN"/>
        </w:rPr>
        <w:t xml:space="preserve">1. </w:t>
      </w:r>
      <w:r>
        <w:t>Утвердить прилагаемые основные направления бюджетной и налоговой политики муниципального образования Рыбкинский сельсовет Новосергиевского района Оренбургской области на 2023 и плановый период 2024-2025 годов согласно приложению</w:t>
      </w:r>
    </w:p>
    <w:p w:rsidR="008B22E8" w:rsidRDefault="008B22E8" w:rsidP="008B22E8">
      <w:pPr>
        <w:tabs>
          <w:tab w:val="left" w:pos="851"/>
          <w:tab w:val="left" w:pos="1176"/>
          <w:tab w:val="left" w:pos="3119"/>
          <w:tab w:val="left" w:pos="3430"/>
        </w:tabs>
        <w:suppressAutoHyphens/>
        <w:ind w:firstLine="567"/>
        <w:jc w:val="both"/>
      </w:pPr>
      <w:r>
        <w:t xml:space="preserve">2. </w:t>
      </w:r>
      <w:proofErr w:type="gramStart"/>
      <w:r>
        <w:t>Контроль за</w:t>
      </w:r>
      <w:proofErr w:type="gramEnd"/>
      <w:r>
        <w:t xml:space="preserve"> выполнением настоящего постановления оставляю за собой.</w:t>
      </w:r>
    </w:p>
    <w:p w:rsidR="008B22E8" w:rsidRDefault="008B22E8" w:rsidP="008B22E8">
      <w:pPr>
        <w:tabs>
          <w:tab w:val="left" w:pos="9356"/>
        </w:tabs>
        <w:spacing w:line="255" w:lineRule="atLeast"/>
        <w:ind w:right="-2" w:firstLine="567"/>
        <w:jc w:val="both"/>
      </w:pPr>
      <w:r>
        <w:t xml:space="preserve">3.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8B22E8" w:rsidRDefault="008B22E8" w:rsidP="008B22E8">
      <w:pPr>
        <w:ind w:firstLine="567"/>
        <w:jc w:val="both"/>
        <w:rPr>
          <w:bCs w:val="0"/>
        </w:rPr>
      </w:pPr>
    </w:p>
    <w:p w:rsidR="008B22E8" w:rsidRDefault="008B22E8" w:rsidP="008B22E8">
      <w:pPr>
        <w:ind w:firstLine="567"/>
        <w:jc w:val="both"/>
        <w:rPr>
          <w:bCs w:val="0"/>
        </w:rPr>
      </w:pPr>
    </w:p>
    <w:p w:rsidR="008B22E8" w:rsidRDefault="008B22E8" w:rsidP="008B22E8">
      <w:pPr>
        <w:jc w:val="both"/>
      </w:pPr>
      <w:r>
        <w:t>Глава муниципального образования</w:t>
      </w:r>
    </w:p>
    <w:p w:rsidR="008B22E8" w:rsidRDefault="008B22E8" w:rsidP="008B22E8">
      <w:pPr>
        <w:jc w:val="both"/>
      </w:pPr>
      <w:r>
        <w:t>Рыбкинский сельсовет                                                         Ю.П.Колесников</w:t>
      </w:r>
    </w:p>
    <w:p w:rsidR="008B22E8" w:rsidRDefault="008B22E8" w:rsidP="008B22E8">
      <w:pPr>
        <w:tabs>
          <w:tab w:val="left" w:pos="5529"/>
        </w:tabs>
        <w:spacing w:line="360" w:lineRule="auto"/>
        <w:ind w:right="3684"/>
        <w:jc w:val="center"/>
      </w:pPr>
    </w:p>
    <w:p w:rsidR="008B22E8" w:rsidRDefault="008B22E8" w:rsidP="008B22E8">
      <w:pPr>
        <w:jc w:val="both"/>
      </w:pPr>
    </w:p>
    <w:p w:rsidR="008B22E8" w:rsidRDefault="008B22E8" w:rsidP="008B22E8">
      <w:pPr>
        <w:jc w:val="both"/>
        <w:rPr>
          <w:lang w:bidi="ru-RU"/>
        </w:rPr>
      </w:pPr>
      <w:r>
        <w:t xml:space="preserve">Разослано: </w:t>
      </w:r>
      <w:r>
        <w:rPr>
          <w:bCs w:val="0"/>
          <w:lang w:bidi="ru-RU"/>
        </w:rPr>
        <w:t>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p>
    <w:p w:rsidR="008B22E8" w:rsidRDefault="008B22E8" w:rsidP="008B22E8">
      <w:pPr>
        <w:ind w:firstLine="567"/>
        <w:jc w:val="both"/>
        <w:rPr>
          <w:lang w:eastAsia="zh-CN"/>
        </w:rPr>
      </w:pPr>
    </w:p>
    <w:p w:rsidR="008B22E8" w:rsidRDefault="008B22E8" w:rsidP="008B22E8">
      <w:pPr>
        <w:ind w:firstLine="533"/>
        <w:jc w:val="right"/>
        <w:rPr>
          <w:lang w:eastAsia="en-US"/>
        </w:rPr>
      </w:pPr>
      <w:r>
        <w:rPr>
          <w:lang w:eastAsia="en-US"/>
        </w:rPr>
        <w:lastRenderedPageBreak/>
        <w:t xml:space="preserve">Приложение </w:t>
      </w:r>
    </w:p>
    <w:p w:rsidR="008B22E8" w:rsidRDefault="008B22E8" w:rsidP="008B22E8">
      <w:pPr>
        <w:ind w:firstLine="533"/>
        <w:jc w:val="right"/>
        <w:rPr>
          <w:lang w:eastAsia="en-US"/>
        </w:rPr>
      </w:pPr>
      <w:r>
        <w:rPr>
          <w:lang w:eastAsia="en-US"/>
        </w:rPr>
        <w:t>к постановлению администрации</w:t>
      </w:r>
    </w:p>
    <w:p w:rsidR="008B22E8" w:rsidRDefault="008B22E8" w:rsidP="008B22E8">
      <w:pPr>
        <w:ind w:firstLine="533"/>
        <w:jc w:val="right"/>
        <w:rPr>
          <w:lang w:eastAsia="en-US"/>
        </w:rPr>
      </w:pPr>
      <w:r>
        <w:rPr>
          <w:lang w:eastAsia="en-US"/>
        </w:rPr>
        <w:t>муниципального образования</w:t>
      </w:r>
    </w:p>
    <w:p w:rsidR="008B22E8" w:rsidRDefault="008B22E8" w:rsidP="008B22E8">
      <w:pPr>
        <w:ind w:firstLine="533"/>
        <w:jc w:val="right"/>
        <w:rPr>
          <w:lang w:eastAsia="en-US"/>
        </w:rPr>
      </w:pPr>
      <w:r>
        <w:rPr>
          <w:lang w:eastAsia="en-US"/>
        </w:rPr>
        <w:t>Рыбкинский сельсовет</w:t>
      </w:r>
    </w:p>
    <w:p w:rsidR="008B22E8" w:rsidRDefault="008B22E8" w:rsidP="008B22E8">
      <w:pPr>
        <w:tabs>
          <w:tab w:val="left" w:pos="9214"/>
        </w:tabs>
        <w:ind w:right="-8"/>
        <w:jc w:val="right"/>
        <w:rPr>
          <w:lang w:eastAsia="en-US"/>
        </w:rPr>
      </w:pPr>
      <w:r>
        <w:rPr>
          <w:lang w:eastAsia="en-US"/>
        </w:rPr>
        <w:t>от 08.11.2022 № 82-п</w:t>
      </w:r>
    </w:p>
    <w:p w:rsidR="008B22E8" w:rsidRDefault="008B22E8" w:rsidP="008B22E8">
      <w:pPr>
        <w:tabs>
          <w:tab w:val="left" w:pos="9214"/>
        </w:tabs>
        <w:ind w:right="-8"/>
        <w:jc w:val="right"/>
        <w:rPr>
          <w:lang w:eastAsia="en-US"/>
        </w:rPr>
      </w:pPr>
    </w:p>
    <w:p w:rsidR="008B22E8" w:rsidRDefault="008B22E8" w:rsidP="008B22E8">
      <w:pPr>
        <w:jc w:val="center"/>
      </w:pPr>
      <w:r>
        <w:rPr>
          <w:b/>
          <w:color w:val="000000"/>
        </w:rPr>
        <w:t xml:space="preserve">Основные направления </w:t>
      </w:r>
      <w:proofErr w:type="gramStart"/>
      <w:r>
        <w:rPr>
          <w:b/>
          <w:color w:val="000000"/>
        </w:rPr>
        <w:t>налоговой</w:t>
      </w:r>
      <w:proofErr w:type="gramEnd"/>
    </w:p>
    <w:p w:rsidR="008B22E8" w:rsidRDefault="008B22E8" w:rsidP="008B22E8">
      <w:pPr>
        <w:jc w:val="center"/>
        <w:rPr>
          <w:b/>
          <w:color w:val="000000"/>
        </w:rPr>
      </w:pPr>
      <w:r>
        <w:rPr>
          <w:b/>
          <w:color w:val="000000"/>
        </w:rPr>
        <w:t>политики  муниципального образования Рыбкинский сельсовет Новосергиевского района Оренбургской области  на 2023 год  и на плановый период 2024 и 2025 годов</w:t>
      </w:r>
    </w:p>
    <w:p w:rsidR="008B22E8" w:rsidRDefault="008B22E8" w:rsidP="008B22E8">
      <w:pPr>
        <w:ind w:firstLine="709"/>
        <w:jc w:val="center"/>
        <w:rPr>
          <w:b/>
          <w:color w:val="000000"/>
        </w:rPr>
      </w:pPr>
    </w:p>
    <w:p w:rsidR="008B22E8" w:rsidRDefault="008B22E8" w:rsidP="008B22E8">
      <w:pPr>
        <w:jc w:val="center"/>
        <w:rPr>
          <w:b/>
          <w:color w:val="000000"/>
        </w:rPr>
      </w:pPr>
      <w:r>
        <w:rPr>
          <w:b/>
          <w:color w:val="000000"/>
          <w:lang w:val="en-US"/>
        </w:rPr>
        <w:t>I</w:t>
      </w:r>
      <w:r>
        <w:rPr>
          <w:b/>
          <w:color w:val="000000"/>
        </w:rPr>
        <w:t>.Общие положения</w:t>
      </w:r>
    </w:p>
    <w:p w:rsidR="008B22E8" w:rsidRDefault="008B22E8" w:rsidP="008B22E8">
      <w:pPr>
        <w:ind w:firstLine="709"/>
        <w:jc w:val="both"/>
        <w:rPr>
          <w:i/>
          <w:color w:val="CC3300"/>
        </w:rPr>
      </w:pPr>
    </w:p>
    <w:p w:rsidR="008B22E8" w:rsidRDefault="008B22E8" w:rsidP="008B22E8">
      <w:pPr>
        <w:jc w:val="both"/>
        <w:rPr>
          <w:color w:val="000000"/>
        </w:rPr>
      </w:pPr>
      <w:r>
        <w:rPr>
          <w:color w:val="000000"/>
        </w:rPr>
        <w:tab/>
        <w:t>Основные направления налоговой политики муниципального образования Рыбкинский сельсовет Новосергиевского района на 2023 год и на плановый период 2024 и 2025 годов подготовлены в соответствии с требованиями статьи 172, 184.2 Бюджетного кодекса Российской Федерации, Положением о бюджетном процессе в муниципальном образовании Рыбкинский сельсовет Новосергиевского района Оренбургской области.</w:t>
      </w:r>
    </w:p>
    <w:p w:rsidR="008B22E8" w:rsidRDefault="008B22E8" w:rsidP="008B22E8">
      <w:pPr>
        <w:jc w:val="both"/>
        <w:rPr>
          <w:color w:val="000000"/>
        </w:rPr>
      </w:pPr>
      <w:r>
        <w:rPr>
          <w:color w:val="000000"/>
        </w:rPr>
        <w:t xml:space="preserve">           </w:t>
      </w:r>
      <w:proofErr w:type="gramStart"/>
      <w:r>
        <w:rPr>
          <w:color w:val="000000"/>
        </w:rPr>
        <w:t>При подготовке Основных направлений бюджетной и  налоговой политики были учтены 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Указа Президента Российской Федерации от 21 июля 2020 года №474 «О национальных целях развития Российской Федерации на период до 2030 года»,  Послания Президента Российской Федерации</w:t>
      </w:r>
      <w:proofErr w:type="gramEnd"/>
      <w:r>
        <w:rPr>
          <w:color w:val="000000"/>
        </w:rPr>
        <w:t xml:space="preserve"> Федеральному Собранию Российской Федерации от 21 апреля 2021 года; Закона Оренбургской области (проекта областного закона) об областном бюджете на 2023 год и на плановый период 2024 и 2025 годов.</w:t>
      </w:r>
    </w:p>
    <w:p w:rsidR="008B22E8" w:rsidRDefault="008B22E8" w:rsidP="008B22E8">
      <w:pPr>
        <w:jc w:val="both"/>
        <w:rPr>
          <w:color w:val="000000"/>
        </w:rPr>
      </w:pPr>
      <w:r>
        <w:rPr>
          <w:color w:val="000000"/>
        </w:rPr>
        <w:t xml:space="preserve">           Целью Основных направлений бюджетной и налоговой политики является определение условий, используемых при составлении проекта местного бюджета на 2023 год и на плановый период 2024 и 2025 годов, подходов к его формированию, основных характеристик и прогнозируемых параметров бюджета. </w:t>
      </w:r>
    </w:p>
    <w:p w:rsidR="008B22E8" w:rsidRDefault="008B22E8" w:rsidP="008B22E8">
      <w:pPr>
        <w:jc w:val="both"/>
        <w:rPr>
          <w:color w:val="000000"/>
        </w:rPr>
      </w:pPr>
      <w:r>
        <w:rPr>
          <w:color w:val="000000"/>
        </w:rPr>
        <w:t xml:space="preserve">          Формирование проекта местного бюджета на 2023 год и на плановый период 2024 и 2025 годов будет осуществляться в условиях рисков, связанных с внешним давлением со стороны недружественных государств, и жесткой </w:t>
      </w:r>
      <w:proofErr w:type="spellStart"/>
      <w:r>
        <w:rPr>
          <w:color w:val="000000"/>
        </w:rPr>
        <w:t>санкционной</w:t>
      </w:r>
      <w:proofErr w:type="spellEnd"/>
      <w:r>
        <w:rPr>
          <w:color w:val="000000"/>
        </w:rPr>
        <w:t xml:space="preserve"> политики в отношении России. В связи с этим меры бюджетной и экономической политики должны быть </w:t>
      </w:r>
      <w:proofErr w:type="gramStart"/>
      <w:r>
        <w:rPr>
          <w:color w:val="000000"/>
        </w:rPr>
        <w:t>направлены</w:t>
      </w:r>
      <w:proofErr w:type="gramEnd"/>
      <w:r>
        <w:rPr>
          <w:color w:val="000000"/>
        </w:rPr>
        <w:t xml:space="preserve"> в том числе на поддержание устойчивости отраслей и секторов экономики с обеспечением возможности оперативного реагирования на изменения экономической ситуации.</w:t>
      </w:r>
    </w:p>
    <w:p w:rsidR="008B22E8" w:rsidRDefault="008B22E8" w:rsidP="008B22E8">
      <w:pPr>
        <w:jc w:val="both"/>
        <w:rPr>
          <w:color w:val="000000"/>
        </w:rPr>
      </w:pPr>
      <w:r>
        <w:rPr>
          <w:color w:val="000000"/>
        </w:rPr>
        <w:t xml:space="preserve">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управления.</w:t>
      </w:r>
    </w:p>
    <w:p w:rsidR="008B22E8" w:rsidRDefault="008B22E8" w:rsidP="008B22E8">
      <w:pPr>
        <w:jc w:val="both"/>
        <w:rPr>
          <w:color w:val="000000"/>
        </w:rPr>
      </w:pPr>
      <w:r>
        <w:rPr>
          <w:color w:val="000000"/>
        </w:rPr>
        <w:lastRenderedPageBreak/>
        <w:t xml:space="preserve">          Разработка бюджетной и налоговой политики муниципального образования Рыбкинский сельсовет Новосергиевского района Оренбургской области направлена на сохранение финансовой стабильности муниципалитета, на рациональное и эффективное использование бюджетных ресурсов, на совершенствование, укрепление и развитие налогового потенциала и управления финансовыми ресурсами муниципального образования.  </w:t>
      </w:r>
    </w:p>
    <w:p w:rsidR="008B22E8" w:rsidRDefault="008B22E8" w:rsidP="008B22E8">
      <w:pPr>
        <w:jc w:val="both"/>
        <w:rPr>
          <w:color w:val="000000"/>
        </w:rPr>
      </w:pPr>
      <w:r>
        <w:rPr>
          <w:color w:val="000000"/>
        </w:rPr>
        <w:t xml:space="preserve">         Сбалансированному и устойчивому развитию муниципального образования Рыбкинский сельсовет должно способствовать оптимальное распределение бюджетных ресурсов, основанное на недопустимости «раздувания» текущих расходов. Поэтому долгосрочным ориентиром в бюджетной политике должен выступать уровень бюджетных расходов, соответствующий реальным доходам бюджета образования Рыбкинский сельсовет.  </w:t>
      </w:r>
    </w:p>
    <w:p w:rsidR="008B22E8" w:rsidRDefault="008B22E8" w:rsidP="008B22E8">
      <w:pPr>
        <w:suppressAutoHyphens/>
        <w:autoSpaceDE w:val="0"/>
        <w:ind w:firstLine="709"/>
        <w:jc w:val="both"/>
      </w:pPr>
      <w:r>
        <w:rPr>
          <w:color w:val="000000"/>
        </w:rPr>
        <w:t>В случае изменений параметров налоговой системы Российской Федерации основные направления налоговой политики муниципального образования Рыбкинский сельсовет Новосергиевского района  могут быть скорректированы в 2023 году при определении налоговой политики на 2024 и последующие годы.</w:t>
      </w:r>
    </w:p>
    <w:p w:rsidR="008B22E8" w:rsidRDefault="008B22E8" w:rsidP="008B22E8">
      <w:pPr>
        <w:autoSpaceDE w:val="0"/>
        <w:jc w:val="both"/>
        <w:rPr>
          <w:color w:val="000000"/>
        </w:rPr>
      </w:pPr>
    </w:p>
    <w:p w:rsidR="008B22E8" w:rsidRDefault="008B22E8" w:rsidP="008B22E8">
      <w:pPr>
        <w:autoSpaceDE w:val="0"/>
        <w:jc w:val="center"/>
        <w:rPr>
          <w:b/>
          <w:color w:val="000000"/>
        </w:rPr>
      </w:pPr>
      <w:r>
        <w:rPr>
          <w:b/>
          <w:bCs w:val="0"/>
          <w:color w:val="000000"/>
        </w:rPr>
        <w:t>ІІ. Основные направления бюджетной и налоговой политики</w:t>
      </w:r>
    </w:p>
    <w:p w:rsidR="008B22E8" w:rsidRDefault="008B22E8" w:rsidP="008B22E8">
      <w:pPr>
        <w:autoSpaceDE w:val="0"/>
        <w:jc w:val="center"/>
        <w:rPr>
          <w:b/>
          <w:bCs w:val="0"/>
          <w:color w:val="000000"/>
        </w:rPr>
      </w:pPr>
      <w:r>
        <w:rPr>
          <w:b/>
          <w:bCs w:val="0"/>
          <w:color w:val="000000"/>
        </w:rPr>
        <w:t>на 2023 - 2025 годы</w:t>
      </w:r>
    </w:p>
    <w:p w:rsidR="008B22E8" w:rsidRDefault="008B22E8" w:rsidP="008B22E8">
      <w:pPr>
        <w:autoSpaceDE w:val="0"/>
        <w:jc w:val="center"/>
        <w:rPr>
          <w:b/>
          <w:bCs w:val="0"/>
          <w:color w:val="000000"/>
        </w:rPr>
      </w:pPr>
    </w:p>
    <w:p w:rsidR="008B22E8" w:rsidRDefault="008B22E8" w:rsidP="008B22E8">
      <w:pPr>
        <w:autoSpaceDE w:val="0"/>
        <w:jc w:val="center"/>
        <w:rPr>
          <w:b/>
          <w:bCs w:val="0"/>
          <w:color w:val="000000"/>
        </w:rPr>
      </w:pPr>
      <w:r>
        <w:rPr>
          <w:b/>
          <w:bCs w:val="0"/>
          <w:color w:val="000000"/>
        </w:rPr>
        <w:t>1. Основные цели бюджетной и налоговой политики</w:t>
      </w:r>
    </w:p>
    <w:p w:rsidR="008B22E8" w:rsidRDefault="008B22E8" w:rsidP="008B22E8">
      <w:pPr>
        <w:autoSpaceDE w:val="0"/>
        <w:jc w:val="center"/>
        <w:rPr>
          <w:b/>
          <w:bCs w:val="0"/>
          <w:color w:val="000000"/>
        </w:rPr>
      </w:pPr>
      <w:r>
        <w:rPr>
          <w:b/>
          <w:bCs w:val="0"/>
          <w:color w:val="000000"/>
        </w:rPr>
        <w:t>в области доходов на 2023-2025 гг.</w:t>
      </w:r>
    </w:p>
    <w:p w:rsidR="008B22E8" w:rsidRDefault="008B22E8" w:rsidP="008B22E8">
      <w:pPr>
        <w:autoSpaceDE w:val="0"/>
        <w:jc w:val="center"/>
        <w:rPr>
          <w:bCs w:val="0"/>
        </w:rPr>
      </w:pPr>
    </w:p>
    <w:p w:rsidR="008B22E8" w:rsidRDefault="008B22E8" w:rsidP="008B22E8">
      <w:pPr>
        <w:jc w:val="both"/>
      </w:pPr>
      <w:r>
        <w:rPr>
          <w:color w:val="000000"/>
        </w:rPr>
        <w:t xml:space="preserve">           В  2021 году налоговая политика сельского поселения  была направлена на продолжение работы по повышению налогового потенциала сельского поселения за счет увеличения облагаемой базы, улучшения администрирования платежей, увеличения собираемости налогов.</w:t>
      </w:r>
      <w:r>
        <w:rPr>
          <w:color w:val="CC3300"/>
          <w:shd w:val="clear" w:color="auto" w:fill="FFFFFF"/>
        </w:rPr>
        <w:t xml:space="preserve">       </w:t>
      </w:r>
    </w:p>
    <w:p w:rsidR="008B22E8" w:rsidRDefault="008B22E8" w:rsidP="008B22E8">
      <w:pPr>
        <w:widowControl w:val="0"/>
        <w:shd w:val="clear" w:color="auto" w:fill="FFFFFF"/>
        <w:tabs>
          <w:tab w:val="left" w:pos="6684"/>
        </w:tabs>
        <w:autoSpaceDE w:val="0"/>
        <w:jc w:val="both"/>
      </w:pPr>
      <w:r>
        <w:rPr>
          <w:color w:val="000000"/>
        </w:rPr>
        <w:t xml:space="preserve">          Одним из направлений работы по росту доходного потенциала  является реализация мер по повышению эффективности налогового администрирования.</w:t>
      </w:r>
    </w:p>
    <w:p w:rsidR="008B22E8" w:rsidRDefault="008B22E8" w:rsidP="008B22E8">
      <w:pPr>
        <w:widowControl w:val="0"/>
        <w:shd w:val="clear" w:color="auto" w:fill="FFFFFF"/>
        <w:tabs>
          <w:tab w:val="left" w:pos="6684"/>
        </w:tabs>
        <w:autoSpaceDE w:val="0"/>
        <w:jc w:val="both"/>
        <w:rPr>
          <w:color w:val="000000"/>
        </w:rPr>
      </w:pPr>
      <w:r>
        <w:rPr>
          <w:color w:val="000000"/>
        </w:rPr>
        <w:t xml:space="preserve">          В 2023-2025 годах решение задач социально-экономического развития будет осуществляться в условиях преемственности курса бюджетной </w:t>
      </w:r>
      <w:proofErr w:type="gramStart"/>
      <w:r>
        <w:rPr>
          <w:color w:val="000000"/>
        </w:rPr>
        <w:t>политики на обеспечение</w:t>
      </w:r>
      <w:proofErr w:type="gramEnd"/>
      <w:r>
        <w:rPr>
          <w:color w:val="000000"/>
        </w:rPr>
        <w:t xml:space="preserve"> стабильности, сбалансированности и устойчивости бюджетной системы, будет продолжена реализация целей и задач, предусмотренных в предыдущих периодах, в том числе в условиях распространения новой </w:t>
      </w:r>
      <w:proofErr w:type="spellStart"/>
      <w:r>
        <w:rPr>
          <w:color w:val="000000"/>
        </w:rPr>
        <w:t>коронавирусной</w:t>
      </w:r>
      <w:proofErr w:type="spellEnd"/>
      <w:r>
        <w:rPr>
          <w:color w:val="000000"/>
        </w:rPr>
        <w:t xml:space="preserve"> инфекции.</w:t>
      </w:r>
    </w:p>
    <w:p w:rsidR="008B22E8" w:rsidRDefault="008B22E8" w:rsidP="008B22E8">
      <w:pPr>
        <w:widowControl w:val="0"/>
        <w:shd w:val="clear" w:color="auto" w:fill="FFFFFF"/>
        <w:tabs>
          <w:tab w:val="left" w:pos="6684"/>
        </w:tabs>
        <w:autoSpaceDE w:val="0"/>
        <w:jc w:val="both"/>
        <w:rPr>
          <w:color w:val="000000"/>
        </w:rPr>
      </w:pPr>
      <w:r>
        <w:rPr>
          <w:color w:val="000000"/>
        </w:rPr>
        <w:t xml:space="preserve">          </w:t>
      </w:r>
      <w:proofErr w:type="gramStart"/>
      <w:r>
        <w:rPr>
          <w:color w:val="000000"/>
        </w:rPr>
        <w:t xml:space="preserve">Основным приоритетом налоговой политики на 2023 год и    на    плановый период 2024 и 2025 годов является </w:t>
      </w:r>
      <w:r>
        <w:rPr>
          <w:bCs w:val="0"/>
          <w:color w:val="000000"/>
        </w:rPr>
        <w:t xml:space="preserve">обеспечение преемственности целей и задач налоговой политики предыдущего периода, </w:t>
      </w:r>
      <w:r>
        <w:rPr>
          <w:color w:val="000000"/>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Pr>
          <w:bCs w:val="0"/>
          <w:color w:val="000000"/>
        </w:rPr>
        <w:t xml:space="preserve">, а также сохранение </w:t>
      </w:r>
      <w:r>
        <w:rPr>
          <w:bCs w:val="0"/>
          <w:color w:val="000000"/>
        </w:rPr>
        <w:lastRenderedPageBreak/>
        <w:t>социальной стабильности в обществе.</w:t>
      </w:r>
      <w:proofErr w:type="gramEnd"/>
    </w:p>
    <w:p w:rsidR="008B22E8" w:rsidRDefault="008B22E8" w:rsidP="008B22E8">
      <w:pPr>
        <w:widowControl w:val="0"/>
        <w:shd w:val="clear" w:color="auto" w:fill="FFFFFF"/>
        <w:tabs>
          <w:tab w:val="left" w:pos="6684"/>
        </w:tabs>
        <w:autoSpaceDE w:val="0"/>
        <w:jc w:val="both"/>
        <w:rPr>
          <w:color w:val="000000"/>
        </w:rPr>
      </w:pPr>
      <w:r>
        <w:rPr>
          <w:color w:val="000000"/>
        </w:rPr>
        <w:t xml:space="preserve">           В трехлетней перспективе будет продолжена работа по укреплению и развитию налогового потенциала консолидированного бюджета муниципального образования за счет наращивания стабильных доходных источников и мобилизации в бюджет имеющихся резервов, исполнению утвержденного плана мероприятий по увеличению поступлений собственных доходов, оптимизации бюджетных расходов и оздоровлению муниципальных финансов. </w:t>
      </w:r>
    </w:p>
    <w:p w:rsidR="008B22E8" w:rsidRDefault="008B22E8" w:rsidP="008B22E8">
      <w:pPr>
        <w:widowControl w:val="0"/>
        <w:shd w:val="clear" w:color="auto" w:fill="FFFFFF"/>
        <w:tabs>
          <w:tab w:val="left" w:pos="6684"/>
        </w:tabs>
        <w:autoSpaceDE w:val="0"/>
        <w:jc w:val="both"/>
        <w:rPr>
          <w:color w:val="000000"/>
        </w:rPr>
      </w:pPr>
      <w:r>
        <w:rPr>
          <w:color w:val="000000"/>
        </w:rPr>
        <w:t xml:space="preserve">            </w:t>
      </w:r>
      <w:proofErr w:type="gramStart"/>
      <w:r>
        <w:rPr>
          <w:color w:val="000000"/>
        </w:rPr>
        <w:t>В 2023 году и плановом периоде будет продолжена работа по сохранению,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Оренбургской области и Новосергиевского района, в части качественного администрирования доходных источников бюджета муниципального образовании Рыбкинский сельсовет Новосергиевского района Оренбургской области, и повышения уровня их собираемости, легализации налоговой</w:t>
      </w:r>
      <w:proofErr w:type="gramEnd"/>
      <w:r>
        <w:rPr>
          <w:color w:val="000000"/>
        </w:rPr>
        <w:t xml:space="preserve"> базы, включая легализацию «теневой» заработной платы, поддержки организаций, формирующих налоговый потенциал сельского поселения, содействия инвестиционным процессам в экономике, повышения эффективности управления муниципальной собственностью.</w:t>
      </w:r>
    </w:p>
    <w:p w:rsidR="008B22E8" w:rsidRDefault="008B22E8" w:rsidP="008B22E8">
      <w:pPr>
        <w:widowControl w:val="0"/>
        <w:shd w:val="clear" w:color="auto" w:fill="FFFFFF"/>
        <w:tabs>
          <w:tab w:val="left" w:pos="6684"/>
        </w:tabs>
        <w:autoSpaceDE w:val="0"/>
        <w:ind w:firstLine="567"/>
        <w:jc w:val="both"/>
        <w:rPr>
          <w:color w:val="000000"/>
        </w:rPr>
      </w:pPr>
      <w:proofErr w:type="gramStart"/>
      <w:r>
        <w:rPr>
          <w:color w:val="000000"/>
        </w:rPr>
        <w:t>Исходя из приоритетов налоговой политики муниципального образования необходимо направить</w:t>
      </w:r>
      <w:proofErr w:type="gramEnd"/>
      <w:r>
        <w:rPr>
          <w:color w:val="000000"/>
        </w:rPr>
        <w:t xml:space="preserve"> усилия на решение задач по следующим направлениям:</w:t>
      </w:r>
    </w:p>
    <w:p w:rsidR="008B22E8" w:rsidRDefault="008B22E8" w:rsidP="008B22E8">
      <w:pPr>
        <w:widowControl w:val="0"/>
        <w:numPr>
          <w:ilvl w:val="0"/>
          <w:numId w:val="1"/>
        </w:numPr>
        <w:shd w:val="clear" w:color="auto" w:fill="FFFFFF"/>
        <w:autoSpaceDE w:val="0"/>
        <w:ind w:left="0" w:firstLine="360"/>
        <w:jc w:val="both"/>
        <w:rPr>
          <w:color w:val="000000"/>
        </w:rPr>
      </w:pPr>
      <w:r>
        <w:rPr>
          <w:color w:val="000000"/>
        </w:rPr>
        <w:t xml:space="preserve">Мобилизация резервов доходной базы местного бюджета; </w:t>
      </w:r>
    </w:p>
    <w:p w:rsidR="008B22E8" w:rsidRDefault="008B22E8" w:rsidP="008B22E8">
      <w:pPr>
        <w:widowControl w:val="0"/>
        <w:numPr>
          <w:ilvl w:val="0"/>
          <w:numId w:val="1"/>
        </w:numPr>
        <w:shd w:val="clear" w:color="auto" w:fill="FFFFFF"/>
        <w:autoSpaceDE w:val="0"/>
        <w:ind w:left="0" w:firstLine="360"/>
        <w:jc w:val="both"/>
        <w:rPr>
          <w:color w:val="000000"/>
        </w:rPr>
      </w:pPr>
      <w:r>
        <w:rPr>
          <w:color w:val="000000"/>
        </w:rPr>
        <w:t>Содействие вовлечению граждан в   предпринимательскую деятельность и сокращение неформальной занятости;</w:t>
      </w:r>
    </w:p>
    <w:p w:rsidR="008B22E8" w:rsidRDefault="008B22E8" w:rsidP="008B22E8">
      <w:pPr>
        <w:widowControl w:val="0"/>
        <w:numPr>
          <w:ilvl w:val="0"/>
          <w:numId w:val="1"/>
        </w:numPr>
        <w:shd w:val="clear" w:color="auto" w:fill="FFFFFF"/>
        <w:autoSpaceDE w:val="0"/>
        <w:ind w:left="0" w:firstLine="360"/>
        <w:jc w:val="both"/>
        <w:rPr>
          <w:color w:val="000000"/>
        </w:rPr>
      </w:pPr>
      <w:r>
        <w:rPr>
          <w:color w:val="000000"/>
        </w:rPr>
        <w:t>Проведение первичной оценки эффективности налоговых расходов на этапе разработки проектов местных решений, устанавливающих соответствующие льготы и преференции;</w:t>
      </w:r>
    </w:p>
    <w:p w:rsidR="008B22E8" w:rsidRDefault="008B22E8" w:rsidP="008B22E8">
      <w:pPr>
        <w:widowControl w:val="0"/>
        <w:numPr>
          <w:ilvl w:val="0"/>
          <w:numId w:val="1"/>
        </w:numPr>
        <w:shd w:val="clear" w:color="auto" w:fill="FFFFFF"/>
        <w:autoSpaceDE w:val="0"/>
        <w:ind w:left="0" w:firstLine="360"/>
        <w:jc w:val="both"/>
        <w:rPr>
          <w:color w:val="000000"/>
        </w:rPr>
      </w:pPr>
      <w:r>
        <w:rPr>
          <w:color w:val="000000"/>
        </w:rPr>
        <w:t xml:space="preserve">Ежегодное проведение оценки эффективности налоговых расходов, обусловленных предоставлением льгот по местным налогам, в целях более эффективного использования инструментов налогового стимулирования и роста налогового потенциала, отмена или уточнение льготных режимов по результатам проведенной оценки в случае выявления их неэффективности; </w:t>
      </w:r>
    </w:p>
    <w:p w:rsidR="008B22E8" w:rsidRDefault="008B22E8" w:rsidP="008B22E8">
      <w:pPr>
        <w:widowControl w:val="0"/>
        <w:numPr>
          <w:ilvl w:val="0"/>
          <w:numId w:val="1"/>
        </w:numPr>
        <w:shd w:val="clear" w:color="auto" w:fill="FFFFFF"/>
        <w:autoSpaceDE w:val="0"/>
        <w:ind w:left="0" w:firstLine="360"/>
        <w:jc w:val="both"/>
        <w:rPr>
          <w:color w:val="000000"/>
        </w:rPr>
      </w:pPr>
      <w:r>
        <w:rPr>
          <w:color w:val="000000"/>
        </w:rPr>
        <w:t xml:space="preserve">Проведение мероприятий по повышению эффективности управления государственной и муниципальной собственностью; </w:t>
      </w:r>
    </w:p>
    <w:p w:rsidR="008B22E8" w:rsidRDefault="008B22E8" w:rsidP="008B22E8">
      <w:pPr>
        <w:widowControl w:val="0"/>
        <w:numPr>
          <w:ilvl w:val="0"/>
          <w:numId w:val="1"/>
        </w:numPr>
        <w:shd w:val="clear" w:color="auto" w:fill="FFFFFF"/>
        <w:autoSpaceDE w:val="0"/>
        <w:ind w:left="0" w:firstLine="360"/>
        <w:jc w:val="both"/>
        <w:rPr>
          <w:color w:val="000000"/>
        </w:rPr>
      </w:pPr>
      <w:r>
        <w:rPr>
          <w:color w:val="000000"/>
        </w:rPr>
        <w:t>Расширение налогооблагаемой базы по имущественным налогам, в том числе за счет выявления правообладателей ранее учтенных объектов недвижимости, а также путем проведения кадастровой оценки;</w:t>
      </w:r>
    </w:p>
    <w:p w:rsidR="008B22E8" w:rsidRDefault="008B22E8" w:rsidP="008B22E8">
      <w:pPr>
        <w:widowControl w:val="0"/>
        <w:numPr>
          <w:ilvl w:val="0"/>
          <w:numId w:val="1"/>
        </w:numPr>
        <w:shd w:val="clear" w:color="auto" w:fill="FFFFFF"/>
        <w:autoSpaceDE w:val="0"/>
        <w:ind w:left="0" w:firstLine="360"/>
        <w:jc w:val="both"/>
        <w:rPr>
          <w:color w:val="000000"/>
        </w:rPr>
      </w:pPr>
      <w:r>
        <w:rPr>
          <w:color w:val="000000"/>
        </w:rPr>
        <w:t xml:space="preserve">Актуализация базы данных налоговых органов по объектам недвижимости и земельным участкам, что приведет к увеличению поступлений земельного налога, арендной платы и налога на имущество физических лиц, координация усилий муниципального земельного контроля для максимального учета при проведении мероприятий по увеличению </w:t>
      </w:r>
      <w:r>
        <w:rPr>
          <w:color w:val="000000"/>
        </w:rPr>
        <w:lastRenderedPageBreak/>
        <w:t xml:space="preserve">налоговых поступлений. Обеспечение полноты собираемости налогов. </w:t>
      </w:r>
    </w:p>
    <w:p w:rsidR="008B22E8" w:rsidRDefault="008B22E8" w:rsidP="008B22E8">
      <w:pPr>
        <w:widowControl w:val="0"/>
        <w:numPr>
          <w:ilvl w:val="0"/>
          <w:numId w:val="1"/>
        </w:numPr>
        <w:shd w:val="clear" w:color="auto" w:fill="FFFFFF"/>
        <w:autoSpaceDE w:val="0"/>
        <w:ind w:left="0" w:firstLine="360"/>
        <w:jc w:val="both"/>
        <w:rPr>
          <w:color w:val="000000"/>
        </w:rPr>
      </w:pPr>
      <w:r>
        <w:rPr>
          <w:color w:val="000000"/>
        </w:rPr>
        <w:t>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местного бюджета.</w:t>
      </w:r>
    </w:p>
    <w:p w:rsidR="008B22E8" w:rsidRDefault="008B22E8" w:rsidP="008B22E8">
      <w:pPr>
        <w:widowControl w:val="0"/>
        <w:shd w:val="clear" w:color="auto" w:fill="FFFFFF"/>
        <w:tabs>
          <w:tab w:val="left" w:pos="6684"/>
        </w:tabs>
        <w:autoSpaceDE w:val="0"/>
        <w:jc w:val="both"/>
      </w:pPr>
      <w:r>
        <w:t xml:space="preserve">           </w:t>
      </w:r>
    </w:p>
    <w:p w:rsidR="008B22E8" w:rsidRDefault="008B22E8" w:rsidP="008B22E8">
      <w:pPr>
        <w:widowControl w:val="0"/>
        <w:shd w:val="clear" w:color="auto" w:fill="FFFFFF"/>
        <w:tabs>
          <w:tab w:val="left" w:pos="6684"/>
        </w:tabs>
        <w:suppressAutoHyphens/>
        <w:autoSpaceDE w:val="0"/>
        <w:ind w:left="-108"/>
        <w:jc w:val="center"/>
        <w:rPr>
          <w:b/>
          <w:color w:val="000000"/>
          <w:lang w:bidi="ru-RU"/>
        </w:rPr>
      </w:pPr>
      <w:r>
        <w:rPr>
          <w:b/>
          <w:bCs w:val="0"/>
          <w:color w:val="000000"/>
          <w:lang w:val="en-US" w:bidi="ru-RU"/>
        </w:rPr>
        <w:t>III</w:t>
      </w:r>
      <w:r>
        <w:rPr>
          <w:b/>
          <w:bCs w:val="0"/>
          <w:color w:val="000000"/>
          <w:lang w:bidi="ru-RU"/>
        </w:rPr>
        <w:t xml:space="preserve">. Основные цели и задачи бюджетной политики в области расходов и </w:t>
      </w:r>
    </w:p>
    <w:p w:rsidR="008B22E8" w:rsidRDefault="008B22E8" w:rsidP="008B22E8">
      <w:pPr>
        <w:widowControl w:val="0"/>
        <w:shd w:val="clear" w:color="auto" w:fill="FFFFFF"/>
        <w:tabs>
          <w:tab w:val="left" w:pos="6684"/>
        </w:tabs>
        <w:suppressAutoHyphens/>
        <w:autoSpaceDE w:val="0"/>
        <w:ind w:left="-108"/>
        <w:jc w:val="center"/>
        <w:rPr>
          <w:b/>
          <w:bCs w:val="0"/>
          <w:color w:val="000000"/>
          <w:lang w:bidi="ru-RU"/>
        </w:rPr>
      </w:pPr>
      <w:r>
        <w:rPr>
          <w:b/>
          <w:bCs w:val="0"/>
          <w:color w:val="000000"/>
          <w:lang w:bidi="ru-RU"/>
        </w:rPr>
        <w:t>управления муниципальным долгом на 2023 и плановый период 2024-2025 годов</w:t>
      </w:r>
    </w:p>
    <w:p w:rsidR="008B22E8" w:rsidRDefault="008B22E8" w:rsidP="008B22E8">
      <w:pPr>
        <w:widowControl w:val="0"/>
        <w:shd w:val="clear" w:color="auto" w:fill="FFFFFF"/>
        <w:tabs>
          <w:tab w:val="left" w:pos="6684"/>
        </w:tabs>
        <w:suppressAutoHyphens/>
        <w:autoSpaceDE w:val="0"/>
        <w:ind w:left="-108"/>
        <w:jc w:val="center"/>
        <w:rPr>
          <w:b/>
          <w:bCs w:val="0"/>
          <w:color w:val="000000"/>
          <w:lang w:bidi="ru-RU"/>
        </w:rPr>
      </w:pPr>
    </w:p>
    <w:p w:rsidR="008B22E8" w:rsidRDefault="008B22E8" w:rsidP="008B22E8">
      <w:pPr>
        <w:widowControl w:val="0"/>
        <w:shd w:val="clear" w:color="auto" w:fill="FFFFFF"/>
        <w:tabs>
          <w:tab w:val="left" w:pos="6684"/>
        </w:tabs>
        <w:suppressAutoHyphens/>
        <w:autoSpaceDE w:val="0"/>
        <w:ind w:left="-108"/>
        <w:jc w:val="both"/>
        <w:rPr>
          <w:bCs w:val="0"/>
          <w:color w:val="000000"/>
          <w:lang w:bidi="ru-RU"/>
        </w:rPr>
      </w:pPr>
      <w:r>
        <w:rPr>
          <w:b/>
          <w:bCs w:val="0"/>
          <w:color w:val="000000"/>
          <w:lang w:bidi="ru-RU"/>
        </w:rPr>
        <w:t xml:space="preserve">             </w:t>
      </w:r>
      <w:proofErr w:type="gramStart"/>
      <w:r>
        <w:rPr>
          <w:bCs w:val="0"/>
          <w:color w:val="000000"/>
          <w:lang w:bidi="ru-RU"/>
        </w:rPr>
        <w:t>Основные направления бюджетной и налоговой политики сформированы в условиях влияния отрицательных геополитических и внешнеэкономических факторов на развитие отраслей экономики и финансовый сектор, с учетом обязательств, предусматриваемых соглашением о мерах по социально-экономическому развитию и оздоровлению муниципальных финансов, ежегодно заключаемых с Финансовым отделом администрации муниципального образования «Новосергиевский район Оренбургской области», и ориентированы на создание условий для эффективного управления муниципальными финансами.</w:t>
      </w:r>
      <w:proofErr w:type="gramEnd"/>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proofErr w:type="gramStart"/>
      <w:r>
        <w:rPr>
          <w:bCs w:val="0"/>
          <w:color w:val="000000"/>
          <w:lang w:bidi="ru-RU"/>
        </w:rPr>
        <w:t>Основные цели бюджетной политики муниципального образовании Рыбкинский сельсовет Новосергиевского района Оренбургской области на 2023 – 2025 годы – сохранение финансовой и социальной стабильности, минимизация  негативных последствий экономических санкций иностранных государств на  отрасли экономики, сектор малого и среднего предпринимательства, рынок труда, а также необходимость достижения приоритетов и целей, определенных в документах стратегического планирования, а также реализация мероприятий, направленных на достижение национальных целей и</w:t>
      </w:r>
      <w:proofErr w:type="gramEnd"/>
      <w:r>
        <w:rPr>
          <w:bCs w:val="0"/>
          <w:color w:val="000000"/>
          <w:lang w:bidi="ru-RU"/>
        </w:rPr>
        <w:t xml:space="preserve"> стратегических задач развития Российской Федерации на период до 2024 года в соответствии с Указом Президента Российской Федерации №204 от 7 мая 2018 года, Указом Президента Российской Федерации от 21 июля 2020 года №474 «О национальных целях развития Российской Федерации на период до 2030 года».  </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Обеспечение положительной динамики в социально-экономическом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rsidR="008B22E8" w:rsidRDefault="008B22E8" w:rsidP="008B22E8">
      <w:pPr>
        <w:widowControl w:val="0"/>
        <w:shd w:val="clear" w:color="auto" w:fill="FFFFFF"/>
        <w:tabs>
          <w:tab w:val="left" w:pos="6684"/>
        </w:tabs>
        <w:suppressAutoHyphens/>
        <w:autoSpaceDE w:val="0"/>
        <w:ind w:left="-108"/>
        <w:jc w:val="center"/>
        <w:rPr>
          <w:bCs w:val="0"/>
          <w:color w:val="000000"/>
          <w:lang w:bidi="ru-RU"/>
        </w:rPr>
      </w:pPr>
      <w:r>
        <w:rPr>
          <w:bCs w:val="0"/>
          <w:color w:val="000000"/>
          <w:lang w:bidi="ru-RU"/>
        </w:rPr>
        <w:t>В целях повышения эффективности бюджетных расходов предполагается:</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1. Совершенствование процедур планирования и технологий исполнения бюджета, включающих практику обоснования бюджетных ассигнований для получателей бюджетных средств, а также обоснования инвестиций в объекты капитального строительства и проведения его технологического и ценового аудита;</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2. Строгое соблюдение бюджетно-финансовой дисциплины главным распорядителем и получателем бюджетных средств;</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 xml:space="preserve">3.  Повышение доступности и качества предоставления муниципальных </w:t>
      </w:r>
      <w:r>
        <w:rPr>
          <w:bCs w:val="0"/>
          <w:color w:val="000000"/>
          <w:lang w:bidi="ru-RU"/>
        </w:rPr>
        <w:lastRenderedPageBreak/>
        <w:t>услуг;</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4. Внедрение бюджетного мониторинга (сбора, анализа информации о движении и использовании бюджетных средств) на всех этапах бюджетного процесса;</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5.  Совершенствование механизма внутреннего муниципального финансового контроля, в том числе   за обеспечением подотчетности (подконтрольности) бюджетных расходов с целью повышения эффективности их расходования;</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6.  Обеспечение открытости и прозрачности бюджетного процесса и вовлечение в него граждан;</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7. Исполнение принятых расходных обязательств, реализация национальных проектов;</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8. Поддержка инициативных проектов граждан.</w:t>
      </w:r>
    </w:p>
    <w:p w:rsidR="008B22E8" w:rsidRDefault="008B22E8" w:rsidP="008B22E8">
      <w:pPr>
        <w:widowControl w:val="0"/>
        <w:shd w:val="clear" w:color="auto" w:fill="FFFFFF"/>
        <w:tabs>
          <w:tab w:val="left" w:pos="6684"/>
        </w:tabs>
        <w:suppressAutoHyphens/>
        <w:autoSpaceDE w:val="0"/>
        <w:ind w:left="-108"/>
        <w:jc w:val="both"/>
        <w:rPr>
          <w:bCs w:val="0"/>
          <w:color w:val="000000"/>
          <w:lang w:bidi="ru-RU"/>
        </w:rPr>
      </w:pPr>
      <w:r>
        <w:rPr>
          <w:bCs w:val="0"/>
          <w:color w:val="000000"/>
          <w:lang w:bidi="ru-RU"/>
        </w:rPr>
        <w:t xml:space="preserve">         В целях оптимизации расходов местного бюджета и исключения возможности принятия обязатель</w:t>
      </w:r>
      <w:proofErr w:type="gramStart"/>
      <w:r>
        <w:rPr>
          <w:bCs w:val="0"/>
          <w:color w:val="000000"/>
          <w:lang w:bidi="ru-RU"/>
        </w:rPr>
        <w:t>ств св</w:t>
      </w:r>
      <w:proofErr w:type="gramEnd"/>
      <w:r>
        <w:rPr>
          <w:bCs w:val="0"/>
          <w:color w:val="000000"/>
          <w:lang w:bidi="ru-RU"/>
        </w:rPr>
        <w:t>ерх утвержденных объемов финансового обеспечения продолжится реализация финансовым органом полномочий по контролю в сфере закупок,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8B22E8" w:rsidRDefault="008B22E8" w:rsidP="008B22E8">
      <w:pPr>
        <w:widowControl w:val="0"/>
        <w:shd w:val="clear" w:color="auto" w:fill="FFFFFF"/>
        <w:tabs>
          <w:tab w:val="left" w:pos="6684"/>
        </w:tabs>
        <w:suppressAutoHyphens/>
        <w:autoSpaceDE w:val="0"/>
        <w:ind w:left="-108"/>
        <w:jc w:val="both"/>
        <w:rPr>
          <w:bCs w:val="0"/>
          <w:color w:val="000000"/>
          <w:lang w:bidi="ru-RU"/>
        </w:rPr>
      </w:pPr>
      <w:r>
        <w:rPr>
          <w:bCs w:val="0"/>
          <w:color w:val="000000"/>
          <w:lang w:bidi="ru-RU"/>
        </w:rPr>
        <w:t xml:space="preserve">         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 что должно стать эффективным инструментом организации деятельности муниципальных органов, отражающим взаимосвязь затраченных ресурсов и полученных результатов.</w:t>
      </w:r>
    </w:p>
    <w:p w:rsidR="008B22E8" w:rsidRDefault="008B22E8" w:rsidP="008B22E8">
      <w:pPr>
        <w:widowControl w:val="0"/>
        <w:shd w:val="clear" w:color="auto" w:fill="FFFFFF"/>
        <w:tabs>
          <w:tab w:val="left" w:pos="6684"/>
        </w:tabs>
        <w:suppressAutoHyphens/>
        <w:autoSpaceDE w:val="0"/>
        <w:ind w:left="-108"/>
        <w:jc w:val="both"/>
        <w:rPr>
          <w:bCs w:val="0"/>
          <w:color w:val="000000"/>
          <w:lang w:bidi="ru-RU"/>
        </w:rPr>
      </w:pPr>
      <w:r>
        <w:rPr>
          <w:bCs w:val="0"/>
          <w:color w:val="000000"/>
          <w:lang w:bidi="ru-RU"/>
        </w:rPr>
        <w:t xml:space="preserve">         Важной задачей остается обеспечение сбалансированности развития экономики, изыскание источников для погашения дефицита местного бюджета, а также поиска дополнительных источников финансирования расходов местного бюджета. </w:t>
      </w:r>
    </w:p>
    <w:p w:rsidR="008B22E8" w:rsidRDefault="008B22E8" w:rsidP="008B22E8">
      <w:pPr>
        <w:widowControl w:val="0"/>
        <w:shd w:val="clear" w:color="auto" w:fill="FFFFFF"/>
        <w:tabs>
          <w:tab w:val="left" w:pos="6684"/>
        </w:tabs>
        <w:suppressAutoHyphens/>
        <w:autoSpaceDE w:val="0"/>
        <w:ind w:left="-108"/>
        <w:jc w:val="both"/>
        <w:rPr>
          <w:bCs w:val="0"/>
          <w:color w:val="000000"/>
          <w:lang w:bidi="ru-RU"/>
        </w:rPr>
      </w:pPr>
      <w:r>
        <w:rPr>
          <w:bCs w:val="0"/>
          <w:color w:val="000000"/>
          <w:lang w:bidi="ru-RU"/>
        </w:rPr>
        <w:t xml:space="preserve">        Последовательная реализация бюджетной политики призвана способствовать повышению устойчивости местного бюджета.</w:t>
      </w:r>
    </w:p>
    <w:p w:rsidR="008B22E8" w:rsidRDefault="008B22E8" w:rsidP="008B22E8">
      <w:pPr>
        <w:widowControl w:val="0"/>
        <w:shd w:val="clear" w:color="auto" w:fill="FFFFFF"/>
        <w:tabs>
          <w:tab w:val="left" w:pos="6684"/>
        </w:tabs>
        <w:suppressAutoHyphens/>
        <w:autoSpaceDE w:val="0"/>
        <w:ind w:left="-108"/>
        <w:jc w:val="both"/>
        <w:rPr>
          <w:bCs w:val="0"/>
          <w:color w:val="000000"/>
          <w:lang w:bidi="ru-RU"/>
        </w:rPr>
      </w:pPr>
      <w:r>
        <w:rPr>
          <w:bCs w:val="0"/>
          <w:color w:val="000000"/>
          <w:lang w:bidi="ru-RU"/>
        </w:rPr>
        <w:t xml:space="preserve">         В основу формирования и реализации долговой политики на 2023 - 2025 годы положена взвешенная политика муниципальных заимствований:</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1. Поддержание объема муниципального долга на экономически безопасном уровне, что позволит своевременно и в полном объеме выполнять долговые обязательства;</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2. Оптимизация структуры муниципального долга путем привлечения бюджетных кредитов из областного бюджета Самарской области с более низкими процентными ставками с целью минимизации стоимости его обслуживания;</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3. Своевременное исполнение принятых обязательств по погашению и обслуживанию муниципального долга;</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r>
        <w:rPr>
          <w:bCs w:val="0"/>
          <w:color w:val="000000"/>
          <w:lang w:bidi="ru-RU"/>
        </w:rPr>
        <w:t>4. Безусловное соблюдение требований бюджетного законодательства в части параметров дефицита и муниципального долга.</w:t>
      </w:r>
    </w:p>
    <w:p w:rsidR="008B22E8" w:rsidRDefault="008B22E8" w:rsidP="008B22E8">
      <w:pPr>
        <w:widowControl w:val="0"/>
        <w:shd w:val="clear" w:color="auto" w:fill="FFFFFF"/>
        <w:tabs>
          <w:tab w:val="left" w:pos="6684"/>
        </w:tabs>
        <w:suppressAutoHyphens/>
        <w:autoSpaceDE w:val="0"/>
        <w:ind w:firstLine="567"/>
        <w:jc w:val="both"/>
        <w:rPr>
          <w:bCs w:val="0"/>
          <w:color w:val="000000"/>
          <w:lang w:bidi="ru-RU"/>
        </w:rPr>
      </w:pPr>
      <w:proofErr w:type="gramStart"/>
      <w:r>
        <w:rPr>
          <w:bCs w:val="0"/>
          <w:color w:val="000000"/>
          <w:lang w:bidi="ru-RU"/>
        </w:rPr>
        <w:lastRenderedPageBreak/>
        <w:t>Реализация направлений бюджетной и налоговой политики направлена на устойчивое социально-экономическое развитие муниципального образовании Рыбкинский сельсовет Новосергиевского района Оренбургской области, обеспечение ключевых бюджетных приоритетов, поддержание сбалансированности местного бюджета, реализацию мер, направленных на повышение инвестиционной привлекательности муниципального образования.</w:t>
      </w:r>
      <w:proofErr w:type="gramEnd"/>
    </w:p>
    <w:p w:rsidR="008B22E8" w:rsidRDefault="008B22E8" w:rsidP="008B22E8">
      <w:pPr>
        <w:widowControl w:val="0"/>
        <w:shd w:val="clear" w:color="auto" w:fill="FFFFFF"/>
        <w:tabs>
          <w:tab w:val="left" w:pos="6684"/>
        </w:tabs>
        <w:suppressAutoHyphens/>
        <w:autoSpaceDE w:val="0"/>
        <w:ind w:left="-108"/>
        <w:jc w:val="center"/>
        <w:rPr>
          <w:b/>
          <w:bCs w:val="0"/>
          <w:color w:val="CC3300"/>
          <w:shd w:val="clear" w:color="auto" w:fill="FFFFFF"/>
          <w:lang w:eastAsia="zh-CN"/>
        </w:rPr>
      </w:pPr>
    </w:p>
    <w:p w:rsidR="008B22E8" w:rsidRDefault="008B22E8" w:rsidP="008B22E8">
      <w:pPr>
        <w:tabs>
          <w:tab w:val="left" w:pos="9214"/>
        </w:tabs>
        <w:ind w:right="-8"/>
        <w:jc w:val="right"/>
        <w:rPr>
          <w:lang w:eastAsia="en-US"/>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5C9"/>
    <w:multiLevelType w:val="hybridMultilevel"/>
    <w:tmpl w:val="E3282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E8"/>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22E8"/>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5786"/>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E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8B22E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8B22E8"/>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E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8B22E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8B22E8"/>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2022-11-15T07:07:00Z</cp:lastPrinted>
  <dcterms:created xsi:type="dcterms:W3CDTF">2022-11-15T07:06:00Z</dcterms:created>
  <dcterms:modified xsi:type="dcterms:W3CDTF">2022-11-15T07:07:00Z</dcterms:modified>
</cp:coreProperties>
</file>