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54" w:rsidRDefault="00011754" w:rsidP="00011754">
      <w:pPr>
        <w:ind w:right="5755"/>
        <w:rPr>
          <w:b/>
        </w:rPr>
      </w:pPr>
      <w:r>
        <w:rPr>
          <w:b/>
        </w:rPr>
        <w:t xml:space="preserve">       АДМИНИСТРАЦИЯ</w:t>
      </w:r>
    </w:p>
    <w:p w:rsidR="00011754" w:rsidRDefault="00011754" w:rsidP="00011754">
      <w:pPr>
        <w:ind w:right="5755"/>
        <w:jc w:val="center"/>
        <w:rPr>
          <w:b/>
        </w:rPr>
      </w:pPr>
      <w:r>
        <w:rPr>
          <w:b/>
        </w:rPr>
        <w:t>муниципального</w:t>
      </w:r>
    </w:p>
    <w:p w:rsidR="00011754" w:rsidRDefault="00011754" w:rsidP="00011754">
      <w:pPr>
        <w:ind w:right="5755"/>
        <w:jc w:val="center"/>
        <w:rPr>
          <w:b/>
        </w:rPr>
      </w:pPr>
      <w:r>
        <w:rPr>
          <w:b/>
        </w:rPr>
        <w:t>образования</w:t>
      </w:r>
    </w:p>
    <w:p w:rsidR="00011754" w:rsidRDefault="00011754" w:rsidP="00011754">
      <w:pPr>
        <w:ind w:right="5755"/>
        <w:jc w:val="center"/>
        <w:rPr>
          <w:b/>
        </w:rPr>
      </w:pPr>
      <w:r>
        <w:rPr>
          <w:b/>
        </w:rPr>
        <w:t>Рыбкинский сельсовет</w:t>
      </w:r>
    </w:p>
    <w:p w:rsidR="00011754" w:rsidRDefault="00011754" w:rsidP="00011754">
      <w:pPr>
        <w:ind w:right="5755"/>
        <w:jc w:val="center"/>
        <w:rPr>
          <w:b/>
        </w:rPr>
      </w:pPr>
      <w:r>
        <w:rPr>
          <w:b/>
        </w:rPr>
        <w:t>Новосергиевского района</w:t>
      </w:r>
    </w:p>
    <w:p w:rsidR="00011754" w:rsidRDefault="00011754" w:rsidP="00011754">
      <w:pPr>
        <w:ind w:right="5755"/>
        <w:jc w:val="center"/>
        <w:rPr>
          <w:b/>
        </w:rPr>
      </w:pPr>
      <w:r>
        <w:rPr>
          <w:b/>
        </w:rPr>
        <w:t>Оренбургской  области</w:t>
      </w:r>
    </w:p>
    <w:p w:rsidR="00011754" w:rsidRDefault="00011754" w:rsidP="00011754">
      <w:pPr>
        <w:ind w:right="5755"/>
        <w:jc w:val="center"/>
        <w:rPr>
          <w:b/>
        </w:rPr>
      </w:pPr>
    </w:p>
    <w:p w:rsidR="00011754" w:rsidRDefault="00011754" w:rsidP="00011754">
      <w:pPr>
        <w:ind w:right="5755"/>
        <w:jc w:val="center"/>
        <w:rPr>
          <w:b/>
        </w:rPr>
      </w:pPr>
      <w:r>
        <w:rPr>
          <w:b/>
        </w:rPr>
        <w:t>ПОСТАНОВЛЕНИЕ</w:t>
      </w:r>
    </w:p>
    <w:p w:rsidR="00011754" w:rsidRDefault="00011754" w:rsidP="00011754">
      <w:pPr>
        <w:ind w:right="5755"/>
        <w:jc w:val="center"/>
        <w:rPr>
          <w:b/>
        </w:rPr>
      </w:pPr>
    </w:p>
    <w:p w:rsidR="00011754" w:rsidRDefault="00011754" w:rsidP="00011754">
      <w:pPr>
        <w:ind w:right="5755"/>
        <w:jc w:val="center"/>
      </w:pPr>
      <w:r>
        <w:t>09.02.2021 г. № 16-п</w:t>
      </w:r>
    </w:p>
    <w:p w:rsidR="00011754" w:rsidRDefault="00011754" w:rsidP="00011754">
      <w:pPr>
        <w:ind w:right="5755"/>
        <w:jc w:val="center"/>
      </w:pPr>
      <w:r>
        <w:t>с.Рыбкино</w:t>
      </w:r>
    </w:p>
    <w:p w:rsidR="00011754" w:rsidRDefault="00011754" w:rsidP="00011754">
      <w:pPr>
        <w:ind w:right="5755"/>
        <w:jc w:val="center"/>
      </w:pPr>
    </w:p>
    <w:p w:rsidR="00011754" w:rsidRDefault="00011754" w:rsidP="00011754">
      <w:pPr>
        <w:ind w:right="3684"/>
        <w:jc w:val="both"/>
      </w:pPr>
      <w:r>
        <w:t>Об утверждении сводного годового отчета о реализации муниципальной программы «Комплексное развитие социальной инфраструктуры муниципального образования Рыбкинский  сельсовет до 2023 г. и на период до 2033 года» за 2020 год</w:t>
      </w:r>
    </w:p>
    <w:p w:rsidR="00011754" w:rsidRDefault="00011754" w:rsidP="00011754">
      <w:pPr>
        <w:ind w:right="3684"/>
        <w:jc w:val="both"/>
      </w:pPr>
    </w:p>
    <w:p w:rsidR="00011754" w:rsidRDefault="00011754" w:rsidP="00011754">
      <w:pPr>
        <w:pStyle w:val="ConsPlusTitle"/>
        <w:widowControl/>
        <w:ind w:firstLine="567"/>
        <w:jc w:val="both"/>
        <w:rPr>
          <w:b w:val="0"/>
          <w:sz w:val="28"/>
          <w:szCs w:val="28"/>
        </w:rPr>
      </w:pPr>
      <w:r>
        <w:rPr>
          <w:b w:val="0"/>
          <w:sz w:val="28"/>
          <w:szCs w:val="28"/>
        </w:rPr>
        <w:t>В соответствии с постановлением администрации Рыбкинского сельсовета Новосергиевского района Оренбургской области от 06.04.2017 № 34-п. «Об утверждении порядка разработки, реализации и оценки эффективности муниципальных программ»:</w:t>
      </w:r>
    </w:p>
    <w:p w:rsidR="00011754" w:rsidRDefault="00011754" w:rsidP="00011754">
      <w:pPr>
        <w:ind w:firstLine="567"/>
        <w:jc w:val="both"/>
      </w:pPr>
      <w:r>
        <w:t>1.  Утвердить сводный  годовой отчет о  ходе реализации и об оценке эффективности муниципальной  программы «Комплексное развитие социальной инфраструктуры  муниципального образования Рыбкинский  сельсовет до 2023 г. и на период до 2033 года» за 2020 год</w:t>
      </w:r>
      <w:r>
        <w:rPr>
          <w:rFonts w:eastAsia="Calibri"/>
          <w:bCs w:val="0"/>
        </w:rPr>
        <w:t xml:space="preserve">, утвержденной постановлением администрации Рыбкинского сельсовета от </w:t>
      </w:r>
      <w:r>
        <w:t>18.04.2017</w:t>
      </w:r>
      <w:r>
        <w:rPr>
          <w:rFonts w:eastAsia="Calibri"/>
          <w:bCs w:val="0"/>
        </w:rPr>
        <w:t xml:space="preserve"> г. № </w:t>
      </w:r>
      <w:r>
        <w:t xml:space="preserve">38-п. </w:t>
      </w:r>
      <w:r>
        <w:rPr>
          <w:rFonts w:eastAsia="Calibri"/>
          <w:bCs w:val="0"/>
        </w:rPr>
        <w:t xml:space="preserve"> </w:t>
      </w:r>
      <w:r>
        <w:t>согласно приложению.</w:t>
      </w:r>
    </w:p>
    <w:p w:rsidR="00011754" w:rsidRDefault="00011754" w:rsidP="00011754">
      <w:pPr>
        <w:ind w:firstLine="612"/>
        <w:jc w:val="both"/>
      </w:pPr>
      <w:r>
        <w:t xml:space="preserve">2. </w:t>
      </w:r>
      <w:proofErr w:type="gramStart"/>
      <w:r>
        <w:t>Контроль за</w:t>
      </w:r>
      <w:proofErr w:type="gramEnd"/>
      <w:r>
        <w:t xml:space="preserve"> исполнением настоящего постановления оставляю за собой.</w:t>
      </w:r>
    </w:p>
    <w:p w:rsidR="00011754" w:rsidRDefault="00011754" w:rsidP="00011754">
      <w:pPr>
        <w:tabs>
          <w:tab w:val="left" w:pos="9792"/>
        </w:tabs>
        <w:ind w:firstLine="612"/>
        <w:jc w:val="both"/>
      </w:pPr>
      <w:r>
        <w:t>3.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w:t>
      </w:r>
    </w:p>
    <w:p w:rsidR="00011754" w:rsidRDefault="00011754" w:rsidP="00011754">
      <w:pPr>
        <w:ind w:firstLine="612"/>
        <w:jc w:val="both"/>
        <w:rPr>
          <w:sz w:val="24"/>
          <w:szCs w:val="24"/>
        </w:rPr>
      </w:pPr>
    </w:p>
    <w:p w:rsidR="00011754" w:rsidRDefault="00011754" w:rsidP="00011754"/>
    <w:p w:rsidR="00011754" w:rsidRDefault="00011754" w:rsidP="00011754">
      <w:r>
        <w:t xml:space="preserve">Глава администрации </w:t>
      </w:r>
    </w:p>
    <w:p w:rsidR="00011754" w:rsidRDefault="00011754" w:rsidP="00011754">
      <w:r>
        <w:t xml:space="preserve">Рыбкинского сельсовета                                                           Ю.П.Колесников </w:t>
      </w:r>
    </w:p>
    <w:p w:rsidR="00011754" w:rsidRDefault="00011754" w:rsidP="00011754">
      <w:r>
        <w:t xml:space="preserve">                     </w:t>
      </w:r>
    </w:p>
    <w:p w:rsidR="00011754" w:rsidRDefault="00011754" w:rsidP="00011754"/>
    <w:p w:rsidR="00011754" w:rsidRDefault="00011754" w:rsidP="00011754"/>
    <w:p w:rsidR="00011754" w:rsidRDefault="00011754" w:rsidP="00011754"/>
    <w:p w:rsidR="00011754" w:rsidRDefault="00011754" w:rsidP="00011754">
      <w:r>
        <w:t>Разослано: прокурору,  в дело</w:t>
      </w:r>
    </w:p>
    <w:p w:rsidR="00011754" w:rsidRDefault="00011754" w:rsidP="00011754">
      <w:pPr>
        <w:tabs>
          <w:tab w:val="left" w:pos="6012"/>
        </w:tabs>
        <w:ind w:right="15" w:firstLine="540"/>
        <w:jc w:val="right"/>
      </w:pPr>
    </w:p>
    <w:p w:rsidR="00011754" w:rsidRDefault="00011754" w:rsidP="00011754">
      <w:pPr>
        <w:tabs>
          <w:tab w:val="left" w:pos="6012"/>
        </w:tabs>
        <w:ind w:right="15" w:firstLine="540"/>
        <w:jc w:val="right"/>
      </w:pPr>
      <w:r>
        <w:lastRenderedPageBreak/>
        <w:t xml:space="preserve">Приложение  </w:t>
      </w:r>
    </w:p>
    <w:p w:rsidR="00011754" w:rsidRDefault="00011754" w:rsidP="00011754">
      <w:pPr>
        <w:tabs>
          <w:tab w:val="left" w:pos="6012"/>
        </w:tabs>
        <w:ind w:right="15" w:firstLine="540"/>
        <w:jc w:val="right"/>
      </w:pPr>
      <w:r>
        <w:t>к постановлению  администрации</w:t>
      </w:r>
    </w:p>
    <w:p w:rsidR="00011754" w:rsidRDefault="00011754" w:rsidP="00011754">
      <w:pPr>
        <w:tabs>
          <w:tab w:val="left" w:pos="6012"/>
        </w:tabs>
        <w:ind w:right="15" w:firstLine="540"/>
        <w:jc w:val="right"/>
      </w:pPr>
      <w:r>
        <w:t xml:space="preserve">Рыбкинского сельсовета </w:t>
      </w:r>
    </w:p>
    <w:p w:rsidR="00011754" w:rsidRDefault="00011754" w:rsidP="00011754">
      <w:pPr>
        <w:tabs>
          <w:tab w:val="left" w:pos="6012"/>
        </w:tabs>
        <w:ind w:right="15" w:firstLine="540"/>
        <w:jc w:val="right"/>
      </w:pPr>
      <w:r>
        <w:t>от 09.02.2021 г</w:t>
      </w:r>
      <w:r>
        <w:rPr>
          <w:color w:val="C00000"/>
        </w:rPr>
        <w:t xml:space="preserve">. </w:t>
      </w:r>
      <w:r>
        <w:t>№ 16-п</w:t>
      </w:r>
    </w:p>
    <w:p w:rsidR="00011754" w:rsidRDefault="00011754" w:rsidP="00011754">
      <w:pPr>
        <w:tabs>
          <w:tab w:val="left" w:pos="6012"/>
        </w:tabs>
        <w:ind w:right="15" w:firstLine="540"/>
        <w:jc w:val="right"/>
      </w:pPr>
    </w:p>
    <w:p w:rsidR="00011754" w:rsidRDefault="00011754" w:rsidP="00011754">
      <w:pPr>
        <w:pStyle w:val="BlockQuotation"/>
        <w:widowControl/>
        <w:tabs>
          <w:tab w:val="left" w:pos="-426"/>
        </w:tabs>
        <w:ind w:left="0" w:right="0" w:firstLine="0"/>
        <w:jc w:val="center"/>
        <w:rPr>
          <w:b/>
        </w:rPr>
      </w:pPr>
      <w:r>
        <w:rPr>
          <w:b/>
        </w:rPr>
        <w:t>Сводный годовой отчет</w:t>
      </w:r>
    </w:p>
    <w:p w:rsidR="00011754" w:rsidRDefault="00011754" w:rsidP="00011754">
      <w:pPr>
        <w:jc w:val="center"/>
        <w:rPr>
          <w:b/>
        </w:rPr>
      </w:pPr>
      <w:r>
        <w:rPr>
          <w:b/>
        </w:rPr>
        <w:t xml:space="preserve"> о ходе реализации и об оценке эффективности муниципальной </w:t>
      </w:r>
      <w:r>
        <w:rPr>
          <w:rFonts w:eastAsia="Calibri"/>
          <w:b/>
          <w:bCs w:val="0"/>
          <w:lang w:eastAsia="en-US"/>
        </w:rPr>
        <w:t>программы</w:t>
      </w:r>
      <w:r>
        <w:rPr>
          <w:b/>
        </w:rPr>
        <w:t xml:space="preserve"> «Комплексное развитие социальной инфраструктуры  муниципального образования Рыбкинский  сельсовет до 2023 г. и на период до 2033 года» </w:t>
      </w:r>
      <w:r>
        <w:rPr>
          <w:rFonts w:eastAsia="Calibri"/>
          <w:b/>
          <w:bCs w:val="0"/>
        </w:rPr>
        <w:t>за 2020 год</w:t>
      </w:r>
    </w:p>
    <w:p w:rsidR="00011754" w:rsidRDefault="00011754" w:rsidP="00011754">
      <w:pPr>
        <w:rPr>
          <w:b/>
          <w:color w:val="FF0000"/>
        </w:rPr>
      </w:pPr>
    </w:p>
    <w:p w:rsidR="00011754" w:rsidRDefault="00011754" w:rsidP="00011754">
      <w:pPr>
        <w:ind w:firstLine="567"/>
        <w:jc w:val="both"/>
        <w:rPr>
          <w:color w:val="000000"/>
        </w:rPr>
      </w:pPr>
      <w:r>
        <w:t xml:space="preserve">Муниципальная программа «Комплексное развитие социальной инфраструктуры  муниципального образования Рыбкинский  сельсовет до 2023 г. и на период до 2033 года» (далее-Программа) утверждена постановлением Администрации муниципального образования Рыбкинский сельсовет Новосергиевского района Оренбургской области </w:t>
      </w:r>
      <w:r>
        <w:rPr>
          <w:color w:val="000000"/>
        </w:rPr>
        <w:t>от 18.04.2017 г. № 38-п. «Об утверждении  муниципальной программы «Комплексное развитие социальной инфраструктуры  муниципального образования Рыбкинский  сельсовет до 2023 г. и на период до 2033 года».</w:t>
      </w:r>
    </w:p>
    <w:p w:rsidR="00011754" w:rsidRDefault="00011754" w:rsidP="00011754">
      <w:pPr>
        <w:ind w:firstLine="567"/>
        <w:jc w:val="both"/>
        <w:rPr>
          <w:color w:val="000000"/>
        </w:rPr>
      </w:pPr>
      <w:r>
        <w:t xml:space="preserve">Программа размещена на официальном сайте Администрации Рыбкинского сельсовета Новосергиевского района Оренбургской области в разделе «Постановления» в информационно – телекоммуникационной сети «Интернет». </w:t>
      </w:r>
    </w:p>
    <w:p w:rsidR="00011754" w:rsidRDefault="00011754" w:rsidP="00011754">
      <w:pPr>
        <w:autoSpaceDE w:val="0"/>
        <w:autoSpaceDN w:val="0"/>
        <w:adjustRightInd w:val="0"/>
        <w:ind w:firstLine="708"/>
        <w:jc w:val="both"/>
        <w:rPr>
          <w:b/>
        </w:rPr>
      </w:pPr>
      <w:r>
        <w:rPr>
          <w:b/>
        </w:rPr>
        <w:t>Цель программы:</w:t>
      </w:r>
    </w:p>
    <w:p w:rsidR="00011754" w:rsidRDefault="00011754" w:rsidP="00011754">
      <w:pPr>
        <w:autoSpaceDE w:val="0"/>
        <w:autoSpaceDN w:val="0"/>
        <w:adjustRightInd w:val="0"/>
        <w:ind w:firstLine="708"/>
        <w:jc w:val="both"/>
      </w:pPr>
      <w:r>
        <w:t xml:space="preserve">Создание материальной базы развития социальной инфраструктуры для обеспечения </w:t>
      </w:r>
      <w:proofErr w:type="gramStart"/>
      <w:r>
        <w:t>повышения  качества жизни населения сельсовета</w:t>
      </w:r>
      <w:proofErr w:type="gramEnd"/>
      <w:r>
        <w:t>.</w:t>
      </w:r>
    </w:p>
    <w:p w:rsidR="00011754" w:rsidRDefault="00011754" w:rsidP="00011754">
      <w:pPr>
        <w:pStyle w:val="1"/>
        <w:spacing w:before="0" w:after="0" w:line="240" w:lineRule="auto"/>
        <w:ind w:firstLine="567"/>
        <w:jc w:val="both"/>
        <w:rPr>
          <w:b/>
          <w:sz w:val="28"/>
          <w:szCs w:val="28"/>
        </w:rPr>
      </w:pPr>
      <w:r>
        <w:rPr>
          <w:b/>
          <w:sz w:val="28"/>
          <w:szCs w:val="28"/>
        </w:rPr>
        <w:t xml:space="preserve">Задачи программы: </w:t>
      </w:r>
    </w:p>
    <w:p w:rsidR="00011754" w:rsidRDefault="00011754" w:rsidP="00011754">
      <w:pPr>
        <w:pStyle w:val="1"/>
        <w:spacing w:before="0" w:after="0" w:line="240" w:lineRule="auto"/>
        <w:ind w:firstLine="567"/>
        <w:jc w:val="both"/>
        <w:rPr>
          <w:sz w:val="28"/>
          <w:szCs w:val="28"/>
        </w:rPr>
      </w:pPr>
      <w:r>
        <w:rPr>
          <w:sz w:val="28"/>
          <w:szCs w:val="28"/>
        </w:rPr>
        <w:t>Обеспечение безопасности, качества и эффективного использования населением объектов социальной инфраструктуры Рыбкинского сельсовета.</w:t>
      </w:r>
    </w:p>
    <w:p w:rsidR="00011754" w:rsidRDefault="00011754" w:rsidP="00011754">
      <w:pPr>
        <w:widowControl w:val="0"/>
        <w:autoSpaceDE w:val="0"/>
        <w:autoSpaceDN w:val="0"/>
        <w:adjustRightInd w:val="0"/>
        <w:ind w:firstLine="540"/>
        <w:jc w:val="both"/>
        <w:rPr>
          <w:b/>
        </w:rPr>
      </w:pPr>
      <w:r>
        <w:rPr>
          <w:b/>
        </w:rPr>
        <w:t>Мероприятия программы:</w:t>
      </w:r>
    </w:p>
    <w:p w:rsidR="00011754" w:rsidRDefault="00011754" w:rsidP="00011754">
      <w:pPr>
        <w:ind w:firstLine="540"/>
        <w:jc w:val="both"/>
      </w:pPr>
      <w:r>
        <w:t>Организация и обеспечение досуга жителей поселения услугами организаций культуры.</w:t>
      </w:r>
    </w:p>
    <w:p w:rsidR="00011754" w:rsidRDefault="00011754" w:rsidP="00011754">
      <w:pPr>
        <w:ind w:firstLine="540"/>
        <w:jc w:val="both"/>
      </w:pPr>
      <w:r>
        <w:t>Общий объем финансирования  мероприятий программы в 2020 году составил 1570,6 тыс. руб. из них</w:t>
      </w:r>
    </w:p>
    <w:p w:rsidR="00011754" w:rsidRDefault="00011754" w:rsidP="00011754">
      <w:pPr>
        <w:ind w:firstLine="540"/>
        <w:jc w:val="both"/>
      </w:pPr>
      <w:r>
        <w:t xml:space="preserve">- на содержание учреждений культуры – 439,2 тыс. руб. </w:t>
      </w:r>
    </w:p>
    <w:p w:rsidR="00011754" w:rsidRDefault="00011754" w:rsidP="00011754">
      <w:pPr>
        <w:ind w:firstLine="540"/>
        <w:jc w:val="both"/>
      </w:pPr>
      <w:r>
        <w:t xml:space="preserve">- на расчет и выплату заработной платы, пособий работникам учреждений культуры – 1124,9 </w:t>
      </w:r>
      <w:proofErr w:type="spellStart"/>
      <w:r>
        <w:t>тыс</w:t>
      </w:r>
      <w:proofErr w:type="gramStart"/>
      <w:r>
        <w:t>.р</w:t>
      </w:r>
      <w:proofErr w:type="gramEnd"/>
      <w:r>
        <w:t>уб</w:t>
      </w:r>
      <w:proofErr w:type="spellEnd"/>
      <w:r>
        <w:t>.</w:t>
      </w:r>
    </w:p>
    <w:p w:rsidR="00011754" w:rsidRDefault="00011754" w:rsidP="00011754">
      <w:pPr>
        <w:ind w:firstLine="540"/>
        <w:jc w:val="both"/>
      </w:pPr>
      <w:r>
        <w:t>- на организацию и  проведение  культурно-досуговых мероприятий – 6,5 тыс. руб.</w:t>
      </w:r>
    </w:p>
    <w:p w:rsidR="00011754" w:rsidRDefault="00011754" w:rsidP="00011754">
      <w:pPr>
        <w:ind w:firstLine="709"/>
        <w:jc w:val="both"/>
      </w:pPr>
      <w:r>
        <w:t>Расходы на реализацию муниципальной программы в 2020 году на 31 декабря произведены в сумме 1570,6 тыс. руб. или 100% процента к плановым назначениям, установленным муниципальной программой.</w:t>
      </w:r>
    </w:p>
    <w:p w:rsidR="00011754" w:rsidRDefault="00011754" w:rsidP="00011754">
      <w:pPr>
        <w:widowControl w:val="0"/>
        <w:autoSpaceDE w:val="0"/>
        <w:autoSpaceDN w:val="0"/>
        <w:adjustRightInd w:val="0"/>
        <w:ind w:firstLine="567"/>
        <w:jc w:val="both"/>
        <w:rPr>
          <w:b/>
        </w:rPr>
      </w:pPr>
      <w:r>
        <w:rPr>
          <w:b/>
        </w:rPr>
        <w:t>Сведения о достижении значений показателей (индикаторов) муниципальной программы:</w:t>
      </w:r>
    </w:p>
    <w:p w:rsidR="00011754" w:rsidRDefault="00011754" w:rsidP="00011754">
      <w:pPr>
        <w:widowControl w:val="0"/>
        <w:tabs>
          <w:tab w:val="left" w:pos="737"/>
        </w:tabs>
        <w:autoSpaceDE w:val="0"/>
        <w:autoSpaceDN w:val="0"/>
        <w:adjustRightInd w:val="0"/>
        <w:ind w:firstLine="540"/>
        <w:jc w:val="both"/>
      </w:pPr>
      <w:r>
        <w:tab/>
        <w:t xml:space="preserve">Результативность реализации муниципальной программы определяется </w:t>
      </w:r>
      <w:r>
        <w:lastRenderedPageBreak/>
        <w:t>достижением плановых значений показателей (индикаторов) согласно таблице.</w:t>
      </w:r>
    </w:p>
    <w:p w:rsidR="00011754" w:rsidRDefault="00011754" w:rsidP="00011754">
      <w:pPr>
        <w:widowControl w:val="0"/>
        <w:autoSpaceDE w:val="0"/>
        <w:autoSpaceDN w:val="0"/>
        <w:adjustRightInd w:val="0"/>
        <w:ind w:firstLine="709"/>
        <w:jc w:val="right"/>
      </w:pPr>
      <w:r>
        <w:t xml:space="preserve">Таблица </w:t>
      </w:r>
    </w:p>
    <w:tbl>
      <w:tblPr>
        <w:tblW w:w="9465" w:type="dxa"/>
        <w:tblLayout w:type="fixed"/>
        <w:tblLook w:val="04A0" w:firstRow="1" w:lastRow="0" w:firstColumn="1" w:lastColumn="0" w:noHBand="0" w:noVBand="1"/>
      </w:tblPr>
      <w:tblGrid>
        <w:gridCol w:w="6063"/>
        <w:gridCol w:w="2268"/>
        <w:gridCol w:w="1134"/>
      </w:tblGrid>
      <w:tr w:rsidR="00011754" w:rsidTr="00011754">
        <w:trPr>
          <w:trHeight w:val="370"/>
        </w:trPr>
        <w:tc>
          <w:tcPr>
            <w:tcW w:w="6062" w:type="dxa"/>
            <w:vMerge w:val="restart"/>
            <w:tcBorders>
              <w:top w:val="single" w:sz="4" w:space="0" w:color="000000"/>
              <w:left w:val="single" w:sz="4" w:space="0" w:color="000000"/>
              <w:bottom w:val="single" w:sz="4" w:space="0" w:color="000000"/>
              <w:right w:val="single" w:sz="4" w:space="0" w:color="000000"/>
            </w:tcBorders>
            <w:hideMark/>
          </w:tcPr>
          <w:p w:rsidR="00011754" w:rsidRDefault="00011754">
            <w:pPr>
              <w:pStyle w:val="a4"/>
              <w:suppressAutoHyphens/>
              <w:spacing w:before="0" w:beforeAutospacing="0" w:after="0" w:afterAutospacing="0" w:line="276" w:lineRule="auto"/>
              <w:jc w:val="center"/>
              <w:rPr>
                <w:b/>
                <w:sz w:val="28"/>
                <w:szCs w:val="28"/>
                <w:lang w:eastAsia="ar-SA"/>
              </w:rPr>
            </w:pPr>
            <w:r>
              <w:rPr>
                <w:b/>
                <w:sz w:val="28"/>
                <w:szCs w:val="28"/>
                <w:lang w:eastAsia="ar-SA"/>
              </w:rPr>
              <w:t>Наименование индикаторов целей Программы</w:t>
            </w:r>
          </w:p>
        </w:tc>
        <w:tc>
          <w:tcPr>
            <w:tcW w:w="2268" w:type="dxa"/>
            <w:vMerge w:val="restart"/>
            <w:tcBorders>
              <w:top w:val="single" w:sz="4" w:space="0" w:color="000000"/>
              <w:left w:val="single" w:sz="4" w:space="0" w:color="000000"/>
              <w:bottom w:val="single" w:sz="4" w:space="0" w:color="000000"/>
              <w:right w:val="single" w:sz="4" w:space="0" w:color="auto"/>
            </w:tcBorders>
            <w:hideMark/>
          </w:tcPr>
          <w:p w:rsidR="00011754" w:rsidRDefault="00011754">
            <w:pPr>
              <w:pStyle w:val="a4"/>
              <w:suppressAutoHyphens/>
              <w:spacing w:before="0" w:beforeAutospacing="0" w:after="0" w:afterAutospacing="0" w:line="276" w:lineRule="auto"/>
              <w:jc w:val="center"/>
              <w:rPr>
                <w:b/>
                <w:sz w:val="28"/>
                <w:szCs w:val="28"/>
                <w:lang w:eastAsia="ar-SA"/>
              </w:rPr>
            </w:pPr>
            <w:r>
              <w:rPr>
                <w:b/>
                <w:sz w:val="28"/>
                <w:szCs w:val="28"/>
                <w:lang w:eastAsia="ar-SA"/>
              </w:rPr>
              <w:t>Ед. измерения</w:t>
            </w:r>
          </w:p>
          <w:p w:rsidR="00011754" w:rsidRDefault="00011754">
            <w:pPr>
              <w:pStyle w:val="a4"/>
              <w:suppressAutoHyphens/>
              <w:spacing w:before="0" w:beforeAutospacing="0" w:after="0" w:afterAutospacing="0" w:line="276" w:lineRule="auto"/>
              <w:jc w:val="center"/>
              <w:rPr>
                <w:b/>
                <w:sz w:val="28"/>
                <w:szCs w:val="28"/>
                <w:lang w:eastAsia="ar-SA"/>
              </w:rPr>
            </w:pPr>
            <w:r>
              <w:rPr>
                <w:b/>
                <w:sz w:val="28"/>
                <w:szCs w:val="28"/>
                <w:lang w:eastAsia="ar-SA"/>
              </w:rPr>
              <w:t>индикаторов целей  Программы</w:t>
            </w:r>
          </w:p>
        </w:tc>
        <w:tc>
          <w:tcPr>
            <w:tcW w:w="1134" w:type="dxa"/>
            <w:vMerge w:val="restart"/>
            <w:tcBorders>
              <w:top w:val="single" w:sz="4" w:space="0" w:color="000000"/>
              <w:left w:val="single" w:sz="4" w:space="0" w:color="auto"/>
              <w:bottom w:val="single" w:sz="4" w:space="0" w:color="000000"/>
              <w:right w:val="single" w:sz="4" w:space="0" w:color="000000"/>
            </w:tcBorders>
          </w:tcPr>
          <w:p w:rsidR="00011754" w:rsidRDefault="00011754">
            <w:pPr>
              <w:spacing w:line="276" w:lineRule="auto"/>
              <w:jc w:val="center"/>
              <w:rPr>
                <w:b/>
                <w:bCs w:val="0"/>
                <w:lang w:eastAsia="ar-SA"/>
              </w:rPr>
            </w:pPr>
            <w:r>
              <w:rPr>
                <w:b/>
                <w:lang w:eastAsia="ar-SA"/>
              </w:rPr>
              <w:t>2020</w:t>
            </w:r>
          </w:p>
          <w:p w:rsidR="00011754" w:rsidRDefault="00011754">
            <w:pPr>
              <w:spacing w:line="276" w:lineRule="auto"/>
              <w:jc w:val="center"/>
              <w:rPr>
                <w:b/>
                <w:bCs w:val="0"/>
                <w:lang w:eastAsia="ar-SA"/>
              </w:rPr>
            </w:pPr>
          </w:p>
          <w:p w:rsidR="00011754" w:rsidRDefault="00011754">
            <w:pPr>
              <w:pStyle w:val="a4"/>
              <w:suppressAutoHyphens/>
              <w:spacing w:before="0" w:beforeAutospacing="0" w:after="0" w:afterAutospacing="0" w:line="276" w:lineRule="auto"/>
              <w:jc w:val="center"/>
              <w:rPr>
                <w:b/>
                <w:sz w:val="28"/>
                <w:szCs w:val="28"/>
                <w:lang w:eastAsia="ar-SA"/>
              </w:rPr>
            </w:pPr>
          </w:p>
        </w:tc>
      </w:tr>
      <w:tr w:rsidR="00011754" w:rsidTr="00011754">
        <w:trPr>
          <w:trHeight w:val="322"/>
        </w:trPr>
        <w:tc>
          <w:tcPr>
            <w:tcW w:w="6062" w:type="dxa"/>
            <w:vMerge/>
            <w:tcBorders>
              <w:top w:val="single" w:sz="4" w:space="0" w:color="000000"/>
              <w:left w:val="single" w:sz="4" w:space="0" w:color="000000"/>
              <w:bottom w:val="single" w:sz="4" w:space="0" w:color="000000"/>
              <w:right w:val="single" w:sz="4" w:space="0" w:color="000000"/>
            </w:tcBorders>
            <w:vAlign w:val="center"/>
            <w:hideMark/>
          </w:tcPr>
          <w:p w:rsidR="00011754" w:rsidRDefault="00011754">
            <w:pPr>
              <w:rPr>
                <w:b/>
                <w:bCs w:val="0"/>
                <w:lang w:eastAsia="ar-SA"/>
              </w:rPr>
            </w:pPr>
          </w:p>
        </w:tc>
        <w:tc>
          <w:tcPr>
            <w:tcW w:w="2268" w:type="dxa"/>
            <w:vMerge/>
            <w:tcBorders>
              <w:top w:val="single" w:sz="4" w:space="0" w:color="000000"/>
              <w:left w:val="single" w:sz="4" w:space="0" w:color="000000"/>
              <w:bottom w:val="single" w:sz="4" w:space="0" w:color="000000"/>
              <w:right w:val="single" w:sz="4" w:space="0" w:color="auto"/>
            </w:tcBorders>
            <w:vAlign w:val="center"/>
            <w:hideMark/>
          </w:tcPr>
          <w:p w:rsidR="00011754" w:rsidRDefault="00011754">
            <w:pPr>
              <w:rPr>
                <w:b/>
                <w:bCs w:val="0"/>
                <w:lang w:eastAsia="ar-SA"/>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011754" w:rsidRDefault="00011754">
            <w:pPr>
              <w:rPr>
                <w:b/>
                <w:bCs w:val="0"/>
                <w:lang w:eastAsia="ar-SA"/>
              </w:rPr>
            </w:pPr>
          </w:p>
        </w:tc>
      </w:tr>
      <w:tr w:rsidR="00011754" w:rsidTr="00011754">
        <w:tc>
          <w:tcPr>
            <w:tcW w:w="6062" w:type="dxa"/>
            <w:tcBorders>
              <w:top w:val="single" w:sz="4" w:space="0" w:color="000000"/>
              <w:left w:val="single" w:sz="4" w:space="0" w:color="000000"/>
              <w:bottom w:val="single" w:sz="4" w:space="0" w:color="000000"/>
              <w:right w:val="single" w:sz="4" w:space="0" w:color="000000"/>
            </w:tcBorders>
            <w:hideMark/>
          </w:tcPr>
          <w:p w:rsidR="00011754" w:rsidRDefault="00011754">
            <w:pPr>
              <w:pStyle w:val="a4"/>
              <w:suppressAutoHyphens/>
              <w:spacing w:before="0" w:beforeAutospacing="0" w:after="0" w:afterAutospacing="0" w:line="276" w:lineRule="auto"/>
              <w:rPr>
                <w:sz w:val="28"/>
                <w:szCs w:val="28"/>
                <w:lang w:eastAsia="ar-SA"/>
              </w:rPr>
            </w:pPr>
            <w:r>
              <w:rPr>
                <w:sz w:val="28"/>
                <w:szCs w:val="28"/>
                <w:lang w:eastAsia="ar-SA"/>
              </w:rPr>
              <w:t xml:space="preserve">площадь жилых </w:t>
            </w:r>
            <w:proofErr w:type="gramStart"/>
            <w:r>
              <w:rPr>
                <w:sz w:val="28"/>
                <w:szCs w:val="28"/>
                <w:lang w:eastAsia="ar-SA"/>
              </w:rPr>
              <w:t>помещений</w:t>
            </w:r>
            <w:proofErr w:type="gramEnd"/>
            <w:r>
              <w:rPr>
                <w:sz w:val="28"/>
                <w:szCs w:val="28"/>
                <w:lang w:eastAsia="ar-SA"/>
              </w:rPr>
              <w:t xml:space="preserve">  введенная в эксплуатацию за год </w:t>
            </w:r>
          </w:p>
        </w:tc>
        <w:tc>
          <w:tcPr>
            <w:tcW w:w="2268" w:type="dxa"/>
            <w:tcBorders>
              <w:top w:val="single" w:sz="4" w:space="0" w:color="000000"/>
              <w:left w:val="single" w:sz="4" w:space="0" w:color="000000"/>
              <w:bottom w:val="single" w:sz="4" w:space="0" w:color="000000"/>
              <w:right w:val="single" w:sz="4" w:space="0" w:color="auto"/>
            </w:tcBorders>
            <w:hideMark/>
          </w:tcPr>
          <w:p w:rsidR="00011754" w:rsidRDefault="00011754">
            <w:pPr>
              <w:pStyle w:val="a4"/>
              <w:suppressAutoHyphens/>
              <w:spacing w:before="0" w:beforeAutospacing="0" w:after="0" w:afterAutospacing="0" w:line="276" w:lineRule="auto"/>
              <w:jc w:val="center"/>
              <w:rPr>
                <w:sz w:val="28"/>
                <w:szCs w:val="28"/>
                <w:lang w:eastAsia="ar-SA"/>
              </w:rPr>
            </w:pPr>
            <w:r>
              <w:rPr>
                <w:sz w:val="28"/>
                <w:szCs w:val="28"/>
                <w:lang w:eastAsia="ar-SA"/>
              </w:rPr>
              <w:t>м</w:t>
            </w:r>
            <w:proofErr w:type="gramStart"/>
            <w:r>
              <w:rPr>
                <w:sz w:val="28"/>
                <w:szCs w:val="28"/>
                <w:vertAlign w:val="superscript"/>
                <w:lang w:eastAsia="ar-SA"/>
              </w:rPr>
              <w:t>2</w:t>
            </w:r>
            <w:proofErr w:type="gramEnd"/>
          </w:p>
        </w:tc>
        <w:tc>
          <w:tcPr>
            <w:tcW w:w="1134" w:type="dxa"/>
            <w:tcBorders>
              <w:top w:val="single" w:sz="4" w:space="0" w:color="000000"/>
              <w:left w:val="single" w:sz="4" w:space="0" w:color="auto"/>
              <w:bottom w:val="single" w:sz="4" w:space="0" w:color="000000"/>
              <w:right w:val="single" w:sz="4" w:space="0" w:color="000000"/>
            </w:tcBorders>
            <w:hideMark/>
          </w:tcPr>
          <w:p w:rsidR="00011754" w:rsidRDefault="00011754">
            <w:pPr>
              <w:pStyle w:val="a4"/>
              <w:suppressAutoHyphens/>
              <w:spacing w:before="0" w:beforeAutospacing="0" w:after="0" w:afterAutospacing="0" w:line="276" w:lineRule="auto"/>
              <w:jc w:val="center"/>
              <w:rPr>
                <w:sz w:val="28"/>
                <w:szCs w:val="28"/>
                <w:lang w:eastAsia="ar-SA"/>
              </w:rPr>
            </w:pPr>
            <w:r>
              <w:rPr>
                <w:sz w:val="28"/>
                <w:szCs w:val="28"/>
                <w:lang w:eastAsia="ar-SA"/>
              </w:rPr>
              <w:t>0</w:t>
            </w:r>
          </w:p>
        </w:tc>
      </w:tr>
      <w:tr w:rsidR="00011754" w:rsidTr="00011754">
        <w:tc>
          <w:tcPr>
            <w:tcW w:w="6062" w:type="dxa"/>
            <w:tcBorders>
              <w:top w:val="single" w:sz="4" w:space="0" w:color="000000"/>
              <w:left w:val="single" w:sz="4" w:space="0" w:color="000000"/>
              <w:bottom w:val="single" w:sz="4" w:space="0" w:color="000000"/>
              <w:right w:val="single" w:sz="4" w:space="0" w:color="000000"/>
            </w:tcBorders>
            <w:hideMark/>
          </w:tcPr>
          <w:p w:rsidR="00011754" w:rsidRDefault="00011754">
            <w:pPr>
              <w:pStyle w:val="a4"/>
              <w:suppressAutoHyphens/>
              <w:spacing w:before="0" w:beforeAutospacing="0" w:after="0" w:afterAutospacing="0" w:line="276" w:lineRule="auto"/>
              <w:rPr>
                <w:sz w:val="28"/>
                <w:szCs w:val="28"/>
                <w:lang w:eastAsia="ar-SA"/>
              </w:rPr>
            </w:pPr>
            <w:r>
              <w:rPr>
                <w:sz w:val="28"/>
                <w:szCs w:val="28"/>
                <w:lang w:eastAsia="ar-SA"/>
              </w:rPr>
              <w:t>доля детей  в возрасте  от 1 до 6 лет (включит.) обеспеченных дошкольными  учреждениями (норматив 70 – 85%)</w:t>
            </w:r>
          </w:p>
        </w:tc>
        <w:tc>
          <w:tcPr>
            <w:tcW w:w="2268" w:type="dxa"/>
            <w:tcBorders>
              <w:top w:val="single" w:sz="4" w:space="0" w:color="000000"/>
              <w:left w:val="single" w:sz="4" w:space="0" w:color="000000"/>
              <w:bottom w:val="single" w:sz="4" w:space="0" w:color="000000"/>
              <w:right w:val="single" w:sz="4" w:space="0" w:color="auto"/>
            </w:tcBorders>
            <w:hideMark/>
          </w:tcPr>
          <w:p w:rsidR="00011754" w:rsidRDefault="00011754">
            <w:pPr>
              <w:pStyle w:val="a4"/>
              <w:suppressAutoHyphens/>
              <w:spacing w:before="0" w:beforeAutospacing="0" w:after="0" w:afterAutospacing="0" w:line="276" w:lineRule="auto"/>
              <w:jc w:val="center"/>
              <w:rPr>
                <w:sz w:val="28"/>
                <w:szCs w:val="28"/>
                <w:lang w:eastAsia="ar-SA"/>
              </w:rPr>
            </w:pPr>
            <w:r>
              <w:rPr>
                <w:sz w:val="28"/>
                <w:szCs w:val="28"/>
                <w:lang w:eastAsia="ar-SA"/>
              </w:rPr>
              <w:t>%</w:t>
            </w:r>
          </w:p>
        </w:tc>
        <w:tc>
          <w:tcPr>
            <w:tcW w:w="1134" w:type="dxa"/>
            <w:tcBorders>
              <w:top w:val="single" w:sz="4" w:space="0" w:color="000000"/>
              <w:left w:val="single" w:sz="4" w:space="0" w:color="auto"/>
              <w:bottom w:val="single" w:sz="4" w:space="0" w:color="000000"/>
              <w:right w:val="single" w:sz="4" w:space="0" w:color="000000"/>
            </w:tcBorders>
            <w:hideMark/>
          </w:tcPr>
          <w:p w:rsidR="00011754" w:rsidRDefault="00011754">
            <w:pPr>
              <w:pStyle w:val="a4"/>
              <w:suppressAutoHyphens/>
              <w:spacing w:before="0" w:beforeAutospacing="0" w:after="0" w:afterAutospacing="0" w:line="276" w:lineRule="auto"/>
              <w:jc w:val="center"/>
              <w:rPr>
                <w:sz w:val="28"/>
                <w:szCs w:val="28"/>
                <w:lang w:eastAsia="ar-SA"/>
              </w:rPr>
            </w:pPr>
            <w:r>
              <w:rPr>
                <w:sz w:val="28"/>
                <w:szCs w:val="28"/>
                <w:lang w:eastAsia="ar-SA"/>
              </w:rPr>
              <w:t>100%</w:t>
            </w:r>
          </w:p>
        </w:tc>
      </w:tr>
      <w:tr w:rsidR="00011754" w:rsidTr="00011754">
        <w:tc>
          <w:tcPr>
            <w:tcW w:w="6062" w:type="dxa"/>
            <w:tcBorders>
              <w:top w:val="single" w:sz="4" w:space="0" w:color="000000"/>
              <w:left w:val="single" w:sz="4" w:space="0" w:color="000000"/>
              <w:bottom w:val="single" w:sz="4" w:space="0" w:color="000000"/>
              <w:right w:val="single" w:sz="4" w:space="0" w:color="000000"/>
            </w:tcBorders>
            <w:hideMark/>
          </w:tcPr>
          <w:p w:rsidR="00011754" w:rsidRDefault="00011754">
            <w:pPr>
              <w:pStyle w:val="a4"/>
              <w:suppressAutoHyphens/>
              <w:spacing w:before="0" w:beforeAutospacing="0" w:after="0" w:afterAutospacing="0" w:line="276" w:lineRule="auto"/>
              <w:rPr>
                <w:sz w:val="28"/>
                <w:szCs w:val="28"/>
                <w:lang w:eastAsia="ar-SA"/>
              </w:rPr>
            </w:pPr>
            <w:r>
              <w:rPr>
                <w:sz w:val="28"/>
                <w:szCs w:val="28"/>
                <w:lang w:eastAsia="ar-SA"/>
              </w:rPr>
              <w:t>доля детей школьного возраста обеспеченных  ученическими местами в школе в одну смену</w:t>
            </w:r>
          </w:p>
        </w:tc>
        <w:tc>
          <w:tcPr>
            <w:tcW w:w="2268" w:type="dxa"/>
            <w:tcBorders>
              <w:top w:val="single" w:sz="4" w:space="0" w:color="000000"/>
              <w:left w:val="single" w:sz="4" w:space="0" w:color="000000"/>
              <w:bottom w:val="single" w:sz="4" w:space="0" w:color="000000"/>
              <w:right w:val="single" w:sz="4" w:space="0" w:color="auto"/>
            </w:tcBorders>
            <w:hideMark/>
          </w:tcPr>
          <w:p w:rsidR="00011754" w:rsidRDefault="00011754">
            <w:pPr>
              <w:pStyle w:val="a4"/>
              <w:suppressAutoHyphens/>
              <w:spacing w:before="0" w:beforeAutospacing="0" w:after="0" w:afterAutospacing="0" w:line="276" w:lineRule="auto"/>
              <w:jc w:val="center"/>
              <w:rPr>
                <w:sz w:val="28"/>
                <w:szCs w:val="28"/>
                <w:lang w:eastAsia="ar-SA"/>
              </w:rPr>
            </w:pPr>
            <w:r>
              <w:rPr>
                <w:sz w:val="28"/>
                <w:szCs w:val="28"/>
                <w:lang w:eastAsia="ar-SA"/>
              </w:rPr>
              <w:t>%</w:t>
            </w:r>
          </w:p>
        </w:tc>
        <w:tc>
          <w:tcPr>
            <w:tcW w:w="1134" w:type="dxa"/>
            <w:tcBorders>
              <w:top w:val="single" w:sz="4" w:space="0" w:color="000000"/>
              <w:left w:val="single" w:sz="4" w:space="0" w:color="auto"/>
              <w:bottom w:val="single" w:sz="4" w:space="0" w:color="000000"/>
              <w:right w:val="single" w:sz="4" w:space="0" w:color="000000"/>
            </w:tcBorders>
            <w:hideMark/>
          </w:tcPr>
          <w:p w:rsidR="00011754" w:rsidRDefault="00011754">
            <w:pPr>
              <w:pStyle w:val="a4"/>
              <w:suppressAutoHyphens/>
              <w:spacing w:before="0" w:beforeAutospacing="0" w:after="0" w:afterAutospacing="0" w:line="276" w:lineRule="auto"/>
              <w:jc w:val="center"/>
              <w:rPr>
                <w:sz w:val="28"/>
                <w:szCs w:val="28"/>
                <w:lang w:eastAsia="ar-SA"/>
              </w:rPr>
            </w:pPr>
            <w:r>
              <w:rPr>
                <w:sz w:val="28"/>
                <w:szCs w:val="28"/>
                <w:lang w:eastAsia="ar-SA"/>
              </w:rPr>
              <w:t>100%</w:t>
            </w:r>
          </w:p>
        </w:tc>
      </w:tr>
      <w:tr w:rsidR="00011754" w:rsidTr="00011754">
        <w:tc>
          <w:tcPr>
            <w:tcW w:w="6062" w:type="dxa"/>
            <w:tcBorders>
              <w:top w:val="single" w:sz="4" w:space="0" w:color="000000"/>
              <w:left w:val="single" w:sz="4" w:space="0" w:color="000000"/>
              <w:bottom w:val="single" w:sz="4" w:space="0" w:color="000000"/>
              <w:right w:val="single" w:sz="4" w:space="0" w:color="000000"/>
            </w:tcBorders>
            <w:hideMark/>
          </w:tcPr>
          <w:p w:rsidR="00011754" w:rsidRDefault="00011754">
            <w:pPr>
              <w:pStyle w:val="a4"/>
              <w:suppressAutoHyphens/>
              <w:spacing w:before="0" w:beforeAutospacing="0" w:after="0" w:afterAutospacing="0" w:line="276" w:lineRule="auto"/>
              <w:rPr>
                <w:sz w:val="28"/>
                <w:szCs w:val="28"/>
                <w:lang w:eastAsia="ar-SA"/>
              </w:rPr>
            </w:pPr>
            <w:r>
              <w:rPr>
                <w:sz w:val="28"/>
                <w:szCs w:val="28"/>
                <w:lang w:eastAsia="ar-SA"/>
              </w:rPr>
              <w:t>вместимость   клубов, библиотек, учреждений дополнительного образования  (норматив 190 на 1000 жит.)</w:t>
            </w:r>
          </w:p>
        </w:tc>
        <w:tc>
          <w:tcPr>
            <w:tcW w:w="2268" w:type="dxa"/>
            <w:tcBorders>
              <w:top w:val="single" w:sz="4" w:space="0" w:color="000000"/>
              <w:left w:val="single" w:sz="4" w:space="0" w:color="000000"/>
              <w:bottom w:val="single" w:sz="4" w:space="0" w:color="000000"/>
              <w:right w:val="single" w:sz="4" w:space="0" w:color="auto"/>
            </w:tcBorders>
            <w:hideMark/>
          </w:tcPr>
          <w:p w:rsidR="00011754" w:rsidRDefault="00011754">
            <w:pPr>
              <w:pStyle w:val="a4"/>
              <w:suppressAutoHyphens/>
              <w:spacing w:before="0" w:beforeAutospacing="0" w:after="0" w:afterAutospacing="0" w:line="276" w:lineRule="auto"/>
              <w:jc w:val="center"/>
              <w:rPr>
                <w:sz w:val="28"/>
                <w:szCs w:val="28"/>
                <w:lang w:eastAsia="ar-SA"/>
              </w:rPr>
            </w:pPr>
            <w:r>
              <w:rPr>
                <w:sz w:val="28"/>
                <w:szCs w:val="28"/>
                <w:lang w:eastAsia="ar-SA"/>
              </w:rPr>
              <w:t>кол-во мест</w:t>
            </w:r>
          </w:p>
        </w:tc>
        <w:tc>
          <w:tcPr>
            <w:tcW w:w="1134" w:type="dxa"/>
            <w:tcBorders>
              <w:top w:val="single" w:sz="4" w:space="0" w:color="000000"/>
              <w:left w:val="single" w:sz="4" w:space="0" w:color="auto"/>
              <w:bottom w:val="single" w:sz="4" w:space="0" w:color="000000"/>
              <w:right w:val="single" w:sz="4" w:space="0" w:color="000000"/>
            </w:tcBorders>
            <w:hideMark/>
          </w:tcPr>
          <w:p w:rsidR="00011754" w:rsidRDefault="00011754">
            <w:pPr>
              <w:pStyle w:val="a4"/>
              <w:suppressAutoHyphens/>
              <w:spacing w:before="0" w:beforeAutospacing="0" w:after="0" w:afterAutospacing="0" w:line="276" w:lineRule="auto"/>
              <w:jc w:val="center"/>
              <w:rPr>
                <w:sz w:val="28"/>
                <w:szCs w:val="28"/>
                <w:lang w:eastAsia="ar-SA"/>
              </w:rPr>
            </w:pPr>
            <w:r>
              <w:rPr>
                <w:sz w:val="28"/>
                <w:szCs w:val="28"/>
                <w:lang w:eastAsia="ar-SA"/>
              </w:rPr>
              <w:t>190</w:t>
            </w:r>
          </w:p>
        </w:tc>
      </w:tr>
      <w:tr w:rsidR="00011754" w:rsidTr="00011754">
        <w:tc>
          <w:tcPr>
            <w:tcW w:w="6062" w:type="dxa"/>
            <w:tcBorders>
              <w:top w:val="single" w:sz="4" w:space="0" w:color="000000"/>
              <w:left w:val="single" w:sz="4" w:space="0" w:color="000000"/>
              <w:bottom w:val="single" w:sz="4" w:space="0" w:color="000000"/>
              <w:right w:val="single" w:sz="4" w:space="0" w:color="000000"/>
            </w:tcBorders>
            <w:hideMark/>
          </w:tcPr>
          <w:p w:rsidR="00011754" w:rsidRDefault="00011754">
            <w:pPr>
              <w:pStyle w:val="a4"/>
              <w:suppressAutoHyphens/>
              <w:spacing w:before="0" w:beforeAutospacing="0" w:after="0" w:afterAutospacing="0" w:line="276" w:lineRule="auto"/>
              <w:rPr>
                <w:sz w:val="28"/>
                <w:szCs w:val="28"/>
                <w:lang w:eastAsia="ar-SA"/>
              </w:rPr>
            </w:pPr>
            <w:r>
              <w:rPr>
                <w:sz w:val="28"/>
                <w:szCs w:val="28"/>
                <w:lang w:eastAsia="ar-SA"/>
              </w:rPr>
              <w:t>площадь торговых  предприятий (норматив 200 м</w:t>
            </w:r>
            <w:proofErr w:type="gramStart"/>
            <w:r>
              <w:rPr>
                <w:sz w:val="28"/>
                <w:szCs w:val="28"/>
                <w:vertAlign w:val="superscript"/>
                <w:lang w:eastAsia="ar-SA"/>
              </w:rPr>
              <w:t>2</w:t>
            </w:r>
            <w:proofErr w:type="gramEnd"/>
            <w:r>
              <w:rPr>
                <w:sz w:val="28"/>
                <w:szCs w:val="28"/>
                <w:vertAlign w:val="superscript"/>
                <w:lang w:eastAsia="ar-SA"/>
              </w:rPr>
              <w:t xml:space="preserve">  </w:t>
            </w:r>
            <w:r>
              <w:rPr>
                <w:sz w:val="28"/>
                <w:szCs w:val="28"/>
                <w:lang w:eastAsia="ar-SA"/>
              </w:rPr>
              <w:t xml:space="preserve"> продовольственными  и  400 м</w:t>
            </w:r>
            <w:r>
              <w:rPr>
                <w:sz w:val="28"/>
                <w:szCs w:val="28"/>
                <w:vertAlign w:val="superscript"/>
                <w:lang w:eastAsia="ar-SA"/>
              </w:rPr>
              <w:t xml:space="preserve">2  </w:t>
            </w:r>
            <w:r>
              <w:rPr>
                <w:sz w:val="28"/>
                <w:szCs w:val="28"/>
                <w:lang w:eastAsia="ar-SA"/>
              </w:rPr>
              <w:t>прочими  на 1000 жителей)</w:t>
            </w:r>
          </w:p>
        </w:tc>
        <w:tc>
          <w:tcPr>
            <w:tcW w:w="2268" w:type="dxa"/>
            <w:tcBorders>
              <w:top w:val="single" w:sz="4" w:space="0" w:color="000000"/>
              <w:left w:val="single" w:sz="4" w:space="0" w:color="000000"/>
              <w:bottom w:val="single" w:sz="4" w:space="0" w:color="000000"/>
              <w:right w:val="single" w:sz="4" w:space="0" w:color="auto"/>
            </w:tcBorders>
            <w:hideMark/>
          </w:tcPr>
          <w:p w:rsidR="00011754" w:rsidRDefault="00011754">
            <w:pPr>
              <w:pStyle w:val="a4"/>
              <w:suppressAutoHyphens/>
              <w:spacing w:before="0" w:beforeAutospacing="0" w:after="0" w:afterAutospacing="0" w:line="276" w:lineRule="auto"/>
              <w:jc w:val="center"/>
              <w:rPr>
                <w:sz w:val="28"/>
                <w:szCs w:val="28"/>
                <w:lang w:eastAsia="ar-SA"/>
              </w:rPr>
            </w:pPr>
            <w:r>
              <w:rPr>
                <w:sz w:val="28"/>
                <w:szCs w:val="28"/>
                <w:lang w:eastAsia="ar-SA"/>
              </w:rPr>
              <w:t>м</w:t>
            </w:r>
            <w:proofErr w:type="gramStart"/>
            <w:r>
              <w:rPr>
                <w:sz w:val="28"/>
                <w:szCs w:val="28"/>
                <w:vertAlign w:val="superscript"/>
                <w:lang w:eastAsia="ar-SA"/>
              </w:rPr>
              <w:t>2</w:t>
            </w:r>
            <w:proofErr w:type="gramEnd"/>
          </w:p>
        </w:tc>
        <w:tc>
          <w:tcPr>
            <w:tcW w:w="1134" w:type="dxa"/>
            <w:tcBorders>
              <w:top w:val="single" w:sz="4" w:space="0" w:color="000000"/>
              <w:left w:val="single" w:sz="4" w:space="0" w:color="auto"/>
              <w:bottom w:val="single" w:sz="4" w:space="0" w:color="000000"/>
              <w:right w:val="single" w:sz="4" w:space="0" w:color="000000"/>
            </w:tcBorders>
            <w:hideMark/>
          </w:tcPr>
          <w:p w:rsidR="00011754" w:rsidRDefault="00011754">
            <w:pPr>
              <w:pStyle w:val="a4"/>
              <w:suppressAutoHyphens/>
              <w:spacing w:before="0" w:beforeAutospacing="0" w:after="0" w:afterAutospacing="0" w:line="276" w:lineRule="auto"/>
              <w:jc w:val="center"/>
              <w:rPr>
                <w:sz w:val="28"/>
                <w:szCs w:val="28"/>
                <w:lang w:eastAsia="ar-SA"/>
              </w:rPr>
            </w:pPr>
            <w:r>
              <w:rPr>
                <w:sz w:val="28"/>
                <w:szCs w:val="28"/>
                <w:lang w:eastAsia="ar-SA"/>
              </w:rPr>
              <w:t>310</w:t>
            </w:r>
          </w:p>
        </w:tc>
      </w:tr>
    </w:tbl>
    <w:p w:rsidR="00011754" w:rsidRDefault="00011754" w:rsidP="00011754">
      <w:pPr>
        <w:tabs>
          <w:tab w:val="left" w:pos="4275"/>
        </w:tabs>
        <w:autoSpaceDE w:val="0"/>
        <w:autoSpaceDN w:val="0"/>
        <w:adjustRightInd w:val="0"/>
        <w:ind w:firstLine="709"/>
        <w:jc w:val="both"/>
        <w:rPr>
          <w:kern w:val="2"/>
        </w:rPr>
      </w:pPr>
    </w:p>
    <w:p w:rsidR="00011754" w:rsidRDefault="00011754" w:rsidP="00011754">
      <w:pPr>
        <w:tabs>
          <w:tab w:val="left" w:pos="4275"/>
        </w:tabs>
        <w:autoSpaceDE w:val="0"/>
        <w:autoSpaceDN w:val="0"/>
        <w:adjustRightInd w:val="0"/>
        <w:ind w:firstLine="709"/>
        <w:jc w:val="both"/>
        <w:rPr>
          <w:kern w:val="2"/>
        </w:rPr>
      </w:pPr>
      <w:r>
        <w:rPr>
          <w:kern w:val="2"/>
        </w:rPr>
        <w:t>В результате проведения оценки эффективности установлено, что  реализация муниципальной программы в 2020 году по степени  достижения целей и решения задач оценивается как удовлетворительная.</w:t>
      </w:r>
    </w:p>
    <w:p w:rsidR="00011754" w:rsidRDefault="00011754" w:rsidP="00011754">
      <w:pPr>
        <w:shd w:val="clear" w:color="auto" w:fill="FFFFFF"/>
        <w:tabs>
          <w:tab w:val="left" w:pos="-8451"/>
        </w:tabs>
        <w:ind w:firstLine="709"/>
        <w:jc w:val="both"/>
      </w:pPr>
      <w:r>
        <w:t>В 2021 году работа над исполнением Программы продолжится.</w:t>
      </w:r>
    </w:p>
    <w:p w:rsidR="00011754" w:rsidRDefault="00011754" w:rsidP="00011754">
      <w:pPr>
        <w:autoSpaceDE w:val="0"/>
        <w:autoSpaceDN w:val="0"/>
        <w:adjustRightInd w:val="0"/>
        <w:jc w:val="both"/>
        <w:rPr>
          <w:b/>
        </w:rPr>
      </w:pPr>
    </w:p>
    <w:p w:rsidR="00011754" w:rsidRDefault="00011754" w:rsidP="00011754">
      <w:pPr>
        <w:ind w:right="5755"/>
        <w:rPr>
          <w:b/>
        </w:rPr>
      </w:pPr>
      <w:r>
        <w:rPr>
          <w:b/>
        </w:rPr>
        <w:t xml:space="preserve">  </w:t>
      </w: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54"/>
    <w:rsid w:val="000053F4"/>
    <w:rsid w:val="00005F98"/>
    <w:rsid w:val="0000607F"/>
    <w:rsid w:val="00006F75"/>
    <w:rsid w:val="000113F5"/>
    <w:rsid w:val="00011754"/>
    <w:rsid w:val="000128C7"/>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842"/>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B1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75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01175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011754"/>
    <w:pPr>
      <w:spacing w:before="100" w:beforeAutospacing="1" w:after="100" w:afterAutospacing="1"/>
    </w:pPr>
    <w:rPr>
      <w:bCs w:val="0"/>
      <w:sz w:val="24"/>
      <w:szCs w:val="24"/>
    </w:rPr>
  </w:style>
  <w:style w:type="paragraph" w:customStyle="1" w:styleId="ConsPlusTitle">
    <w:name w:val="ConsPlusTitle"/>
    <w:uiPriority w:val="99"/>
    <w:qFormat/>
    <w:rsid w:val="000117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 (веб)1"/>
    <w:basedOn w:val="a"/>
    <w:uiPriority w:val="99"/>
    <w:qFormat/>
    <w:rsid w:val="00011754"/>
    <w:pPr>
      <w:suppressAutoHyphens/>
      <w:spacing w:before="100" w:after="100" w:line="100" w:lineRule="atLeast"/>
    </w:pPr>
    <w:rPr>
      <w:bCs w:val="0"/>
      <w:sz w:val="24"/>
      <w:szCs w:val="24"/>
      <w:lang w:eastAsia="ar-SA"/>
    </w:rPr>
  </w:style>
  <w:style w:type="paragraph" w:customStyle="1" w:styleId="BlockQuotation">
    <w:name w:val="Block Quotation"/>
    <w:basedOn w:val="a"/>
    <w:uiPriority w:val="99"/>
    <w:qFormat/>
    <w:rsid w:val="00011754"/>
    <w:pPr>
      <w:widowControl w:val="0"/>
      <w:overflowPunct w:val="0"/>
      <w:autoSpaceDE w:val="0"/>
      <w:autoSpaceDN w:val="0"/>
      <w:adjustRightInd w:val="0"/>
      <w:ind w:left="567" w:right="-2" w:firstLine="851"/>
      <w:jc w:val="both"/>
    </w:pPr>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75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01175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011754"/>
    <w:pPr>
      <w:spacing w:before="100" w:beforeAutospacing="1" w:after="100" w:afterAutospacing="1"/>
    </w:pPr>
    <w:rPr>
      <w:bCs w:val="0"/>
      <w:sz w:val="24"/>
      <w:szCs w:val="24"/>
    </w:rPr>
  </w:style>
  <w:style w:type="paragraph" w:customStyle="1" w:styleId="ConsPlusTitle">
    <w:name w:val="ConsPlusTitle"/>
    <w:uiPriority w:val="99"/>
    <w:qFormat/>
    <w:rsid w:val="000117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 (веб)1"/>
    <w:basedOn w:val="a"/>
    <w:uiPriority w:val="99"/>
    <w:qFormat/>
    <w:rsid w:val="00011754"/>
    <w:pPr>
      <w:suppressAutoHyphens/>
      <w:spacing w:before="100" w:after="100" w:line="100" w:lineRule="atLeast"/>
    </w:pPr>
    <w:rPr>
      <w:bCs w:val="0"/>
      <w:sz w:val="24"/>
      <w:szCs w:val="24"/>
      <w:lang w:eastAsia="ar-SA"/>
    </w:rPr>
  </w:style>
  <w:style w:type="paragraph" w:customStyle="1" w:styleId="BlockQuotation">
    <w:name w:val="Block Quotation"/>
    <w:basedOn w:val="a"/>
    <w:uiPriority w:val="99"/>
    <w:qFormat/>
    <w:rsid w:val="00011754"/>
    <w:pPr>
      <w:widowControl w:val="0"/>
      <w:overflowPunct w:val="0"/>
      <w:autoSpaceDE w:val="0"/>
      <w:autoSpaceDN w:val="0"/>
      <w:adjustRightInd w:val="0"/>
      <w:ind w:left="567" w:right="-2" w:firstLine="851"/>
      <w:jc w:val="both"/>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2021-02-11T06:54:00Z</dcterms:created>
  <dcterms:modified xsi:type="dcterms:W3CDTF">2021-02-11T06:54:00Z</dcterms:modified>
</cp:coreProperties>
</file>